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350" w:type="dxa"/>
        <w:tblLook w:val="04A0" w:firstRow="1" w:lastRow="0" w:firstColumn="1" w:lastColumn="0" w:noHBand="0" w:noVBand="1"/>
      </w:tblPr>
      <w:tblGrid>
        <w:gridCol w:w="1001"/>
        <w:gridCol w:w="873"/>
        <w:gridCol w:w="793"/>
        <w:gridCol w:w="1284"/>
        <w:gridCol w:w="903"/>
        <w:gridCol w:w="1128"/>
        <w:gridCol w:w="1033"/>
        <w:gridCol w:w="773"/>
        <w:gridCol w:w="1562"/>
      </w:tblGrid>
      <w:tr w:rsidR="00B46231" w:rsidRPr="00B46231" w14:paraId="6E12CF81" w14:textId="77777777" w:rsidTr="00D13CA4">
        <w:trPr>
          <w:trHeight w:val="300"/>
        </w:trPr>
        <w:tc>
          <w:tcPr>
            <w:tcW w:w="2667"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2A7FE3" w14:textId="7E2A06EE" w:rsidR="00B46231" w:rsidRPr="00B46231" w:rsidRDefault="00B46231" w:rsidP="00B46231">
            <w:pPr>
              <w:spacing w:after="0" w:line="240" w:lineRule="auto"/>
              <w:rPr>
                <w:rFonts w:ascii="Calibri" w:eastAsia="Times New Roman" w:hAnsi="Calibri" w:cs="Times New Roman"/>
                <w:color w:val="000000"/>
              </w:rPr>
            </w:pPr>
            <w:bookmarkStart w:id="0" w:name="_GoBack"/>
            <w:bookmarkEnd w:id="0"/>
            <w:r w:rsidRPr="00B46231">
              <w:rPr>
                <w:rFonts w:ascii="Calibri" w:eastAsia="Times New Roman" w:hAnsi="Calibri" w:cs="Times New Roman"/>
                <w:b/>
                <w:bCs/>
                <w:color w:val="000000"/>
              </w:rPr>
              <w:t xml:space="preserve">District: </w:t>
            </w:r>
            <w:r w:rsidRPr="00B46231">
              <w:rPr>
                <w:rFonts w:ascii="Calibri" w:eastAsia="Times New Roman" w:hAnsi="Calibri" w:cs="Times New Roman"/>
                <w:color w:val="000000"/>
              </w:rPr>
              <w:t xml:space="preserve"> </w:t>
            </w:r>
            <w:r w:rsidR="00197BCD">
              <w:rPr>
                <w:rFonts w:ascii="Calibri" w:eastAsia="Times New Roman" w:hAnsi="Calibri" w:cs="Times New Roman"/>
                <w:color w:val="000000"/>
              </w:rPr>
              <w:t xml:space="preserve">01 </w:t>
            </w:r>
            <w:r w:rsidRPr="00B46231">
              <w:rPr>
                <w:rFonts w:ascii="Calibri" w:eastAsia="Times New Roman" w:hAnsi="Calibri" w:cs="Times New Roman"/>
                <w:color w:val="000000"/>
              </w:rPr>
              <w:t>Blackduck</w:t>
            </w:r>
          </w:p>
        </w:tc>
        <w:tc>
          <w:tcPr>
            <w:tcW w:w="3315" w:type="dxa"/>
            <w:gridSpan w:val="3"/>
            <w:tcBorders>
              <w:top w:val="single" w:sz="4" w:space="0" w:color="auto"/>
              <w:left w:val="nil"/>
              <w:bottom w:val="single" w:sz="4" w:space="0" w:color="auto"/>
              <w:right w:val="single" w:sz="4" w:space="0" w:color="auto"/>
            </w:tcBorders>
            <w:shd w:val="clear" w:color="auto" w:fill="auto"/>
            <w:noWrap/>
            <w:vAlign w:val="bottom"/>
            <w:hideMark/>
          </w:tcPr>
          <w:p w14:paraId="457903C7" w14:textId="5817A662" w:rsidR="00B46231" w:rsidRPr="00B46231" w:rsidRDefault="00B46231" w:rsidP="00B46231">
            <w:pPr>
              <w:spacing w:after="0" w:line="240" w:lineRule="auto"/>
              <w:rPr>
                <w:rFonts w:ascii="Calibri" w:eastAsia="Times New Roman" w:hAnsi="Calibri" w:cs="Times New Roman"/>
                <w:color w:val="000000"/>
              </w:rPr>
            </w:pPr>
            <w:r w:rsidRPr="00B46231">
              <w:rPr>
                <w:rFonts w:ascii="Calibri" w:eastAsia="Times New Roman" w:hAnsi="Calibri" w:cs="Times New Roman"/>
                <w:b/>
                <w:bCs/>
                <w:color w:val="000000"/>
              </w:rPr>
              <w:t xml:space="preserve">Forest Type: </w:t>
            </w:r>
            <w:r w:rsidRPr="00B46231">
              <w:rPr>
                <w:rFonts w:ascii="Calibri" w:eastAsia="Times New Roman" w:hAnsi="Calibri" w:cs="Times New Roman"/>
                <w:color w:val="000000"/>
              </w:rPr>
              <w:t xml:space="preserve"> </w:t>
            </w:r>
            <w:r w:rsidR="00197BCD">
              <w:rPr>
                <w:rFonts w:ascii="Calibri" w:eastAsia="Times New Roman" w:hAnsi="Calibri" w:cs="Times New Roman"/>
                <w:color w:val="000000"/>
              </w:rPr>
              <w:t xml:space="preserve">102 </w:t>
            </w:r>
            <w:r w:rsidRPr="00B46231">
              <w:rPr>
                <w:rFonts w:ascii="Calibri" w:eastAsia="Times New Roman" w:hAnsi="Calibri" w:cs="Times New Roman"/>
                <w:color w:val="000000"/>
              </w:rPr>
              <w:t xml:space="preserve">Red Pine </w:t>
            </w:r>
          </w:p>
        </w:tc>
        <w:tc>
          <w:tcPr>
            <w:tcW w:w="3368" w:type="dxa"/>
            <w:gridSpan w:val="3"/>
            <w:tcBorders>
              <w:top w:val="single" w:sz="4" w:space="0" w:color="auto"/>
              <w:left w:val="nil"/>
              <w:bottom w:val="single" w:sz="4" w:space="0" w:color="auto"/>
              <w:right w:val="single" w:sz="4" w:space="0" w:color="auto"/>
            </w:tcBorders>
            <w:shd w:val="clear" w:color="auto" w:fill="auto"/>
            <w:noWrap/>
            <w:vAlign w:val="bottom"/>
            <w:hideMark/>
          </w:tcPr>
          <w:p w14:paraId="4E92BABD" w14:textId="76C6DA4C" w:rsidR="00B46231" w:rsidRPr="00B46231" w:rsidRDefault="00B46231" w:rsidP="00B46231">
            <w:pPr>
              <w:spacing w:after="0" w:line="240" w:lineRule="auto"/>
              <w:rPr>
                <w:rFonts w:ascii="Calibri" w:eastAsia="Times New Roman" w:hAnsi="Calibri" w:cs="Times New Roman"/>
                <w:color w:val="000000"/>
              </w:rPr>
            </w:pPr>
            <w:r w:rsidRPr="00B46231">
              <w:rPr>
                <w:rFonts w:ascii="Calibri" w:eastAsia="Times New Roman" w:hAnsi="Calibri" w:cs="Times New Roman"/>
                <w:b/>
                <w:bCs/>
                <w:color w:val="000000"/>
              </w:rPr>
              <w:t xml:space="preserve">DFC: </w:t>
            </w:r>
            <w:r w:rsidRPr="00B46231">
              <w:rPr>
                <w:rFonts w:ascii="Calibri" w:eastAsia="Times New Roman" w:hAnsi="Calibri" w:cs="Times New Roman"/>
                <w:color w:val="000000"/>
              </w:rPr>
              <w:t xml:space="preserve"> </w:t>
            </w:r>
            <w:r w:rsidR="00197BCD">
              <w:rPr>
                <w:rFonts w:ascii="Calibri" w:eastAsia="Times New Roman" w:hAnsi="Calibri" w:cs="Times New Roman"/>
                <w:color w:val="000000"/>
              </w:rPr>
              <w:t xml:space="preserve">102 </w:t>
            </w:r>
            <w:r w:rsidR="00197BCD" w:rsidRPr="00B46231">
              <w:rPr>
                <w:rFonts w:ascii="Calibri" w:eastAsia="Times New Roman" w:hAnsi="Calibri" w:cs="Times New Roman"/>
                <w:color w:val="000000"/>
              </w:rPr>
              <w:t>Red Pine</w:t>
            </w:r>
          </w:p>
        </w:tc>
      </w:tr>
      <w:tr w:rsidR="00B46231" w:rsidRPr="00B46231" w14:paraId="672CB7DA" w14:textId="77777777" w:rsidTr="00D13CA4">
        <w:trPr>
          <w:trHeight w:val="300"/>
        </w:trPr>
        <w:tc>
          <w:tcPr>
            <w:tcW w:w="2667"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AF88D0" w14:textId="77777777" w:rsidR="00B46231" w:rsidRPr="00B46231" w:rsidRDefault="00B46231" w:rsidP="00B46231">
            <w:pPr>
              <w:spacing w:after="0" w:line="240" w:lineRule="auto"/>
              <w:rPr>
                <w:rFonts w:ascii="Calibri" w:eastAsia="Times New Roman" w:hAnsi="Calibri" w:cs="Times New Roman"/>
                <w:color w:val="000000"/>
              </w:rPr>
            </w:pPr>
            <w:r w:rsidRPr="00B46231">
              <w:rPr>
                <w:rFonts w:ascii="Calibri" w:eastAsia="Times New Roman" w:hAnsi="Calibri" w:cs="Times New Roman"/>
                <w:b/>
                <w:bCs/>
                <w:color w:val="000000"/>
              </w:rPr>
              <w:t xml:space="preserve">EA Name: </w:t>
            </w:r>
            <w:r w:rsidRPr="00B46231">
              <w:rPr>
                <w:rFonts w:ascii="Calibri" w:eastAsia="Times New Roman" w:hAnsi="Calibri" w:cs="Times New Roman"/>
                <w:color w:val="000000"/>
              </w:rPr>
              <w:t xml:space="preserve"> Sand Plains Pine</w:t>
            </w:r>
          </w:p>
        </w:tc>
        <w:tc>
          <w:tcPr>
            <w:tcW w:w="3315" w:type="dxa"/>
            <w:gridSpan w:val="3"/>
            <w:tcBorders>
              <w:top w:val="single" w:sz="4" w:space="0" w:color="auto"/>
              <w:left w:val="nil"/>
              <w:bottom w:val="single" w:sz="4" w:space="0" w:color="auto"/>
              <w:right w:val="single" w:sz="4" w:space="0" w:color="auto"/>
            </w:tcBorders>
            <w:shd w:val="clear" w:color="auto" w:fill="auto"/>
            <w:noWrap/>
            <w:vAlign w:val="bottom"/>
            <w:hideMark/>
          </w:tcPr>
          <w:p w14:paraId="032084A2" w14:textId="77777777" w:rsidR="00B46231" w:rsidRPr="00B46231" w:rsidRDefault="00B46231" w:rsidP="00B46231">
            <w:pPr>
              <w:spacing w:after="0" w:line="240" w:lineRule="auto"/>
              <w:rPr>
                <w:rFonts w:ascii="Calibri" w:eastAsia="Times New Roman" w:hAnsi="Calibri" w:cs="Times New Roman"/>
                <w:color w:val="000000"/>
              </w:rPr>
            </w:pPr>
            <w:r w:rsidRPr="00B46231">
              <w:rPr>
                <w:rFonts w:ascii="Calibri" w:eastAsia="Times New Roman" w:hAnsi="Calibri" w:cs="Times New Roman"/>
                <w:b/>
                <w:bCs/>
                <w:color w:val="000000"/>
              </w:rPr>
              <w:t>Sale Name:</w:t>
            </w:r>
            <w:r w:rsidRPr="00B46231">
              <w:rPr>
                <w:rFonts w:ascii="Calibri" w:eastAsia="Times New Roman" w:hAnsi="Calibri" w:cs="Times New Roman"/>
                <w:color w:val="000000"/>
              </w:rPr>
              <w:t xml:space="preserve">  638 Pilot Project</w:t>
            </w:r>
          </w:p>
        </w:tc>
        <w:tc>
          <w:tcPr>
            <w:tcW w:w="3368" w:type="dxa"/>
            <w:gridSpan w:val="3"/>
            <w:tcBorders>
              <w:top w:val="single" w:sz="4" w:space="0" w:color="auto"/>
              <w:left w:val="nil"/>
              <w:bottom w:val="single" w:sz="4" w:space="0" w:color="auto"/>
              <w:right w:val="single" w:sz="4" w:space="0" w:color="auto"/>
            </w:tcBorders>
            <w:shd w:val="clear" w:color="auto" w:fill="auto"/>
            <w:noWrap/>
            <w:vAlign w:val="bottom"/>
            <w:hideMark/>
          </w:tcPr>
          <w:p w14:paraId="118CF200" w14:textId="77777777" w:rsidR="00B46231" w:rsidRPr="00B46231" w:rsidRDefault="00B46231" w:rsidP="00B46231">
            <w:pPr>
              <w:spacing w:after="0" w:line="240" w:lineRule="auto"/>
              <w:rPr>
                <w:rFonts w:ascii="Calibri" w:eastAsia="Times New Roman" w:hAnsi="Calibri" w:cs="Times New Roman"/>
                <w:b/>
                <w:bCs/>
                <w:color w:val="000000"/>
              </w:rPr>
            </w:pPr>
            <w:r w:rsidRPr="00B46231">
              <w:rPr>
                <w:rFonts w:ascii="Calibri" w:eastAsia="Times New Roman" w:hAnsi="Calibri" w:cs="Times New Roman"/>
                <w:b/>
                <w:bCs/>
                <w:color w:val="000000"/>
              </w:rPr>
              <w:t>PU#:</w:t>
            </w:r>
          </w:p>
        </w:tc>
      </w:tr>
      <w:tr w:rsidR="00B46231" w:rsidRPr="00B46231" w14:paraId="0000E2CB" w14:textId="77777777" w:rsidTr="00D13CA4">
        <w:trPr>
          <w:trHeight w:val="300"/>
        </w:trPr>
        <w:tc>
          <w:tcPr>
            <w:tcW w:w="4854"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960C79" w14:textId="0B718B3F" w:rsidR="00B46231" w:rsidRPr="00B46231" w:rsidRDefault="00B46231" w:rsidP="00B46231">
            <w:pPr>
              <w:spacing w:after="0" w:line="240" w:lineRule="auto"/>
              <w:rPr>
                <w:rFonts w:ascii="Calibri" w:eastAsia="Times New Roman" w:hAnsi="Calibri" w:cs="Times New Roman"/>
                <w:color w:val="000000"/>
              </w:rPr>
            </w:pPr>
            <w:r w:rsidRPr="00B46231">
              <w:rPr>
                <w:rFonts w:ascii="Calibri" w:eastAsia="Times New Roman" w:hAnsi="Calibri" w:cs="Times New Roman"/>
                <w:b/>
                <w:bCs/>
                <w:color w:val="000000"/>
              </w:rPr>
              <w:t xml:space="preserve">Legal Description: </w:t>
            </w:r>
            <w:r w:rsidRPr="00B46231">
              <w:rPr>
                <w:rFonts w:ascii="Calibri" w:eastAsia="Times New Roman" w:hAnsi="Calibri" w:cs="Times New Roman"/>
                <w:color w:val="000000"/>
              </w:rPr>
              <w:t xml:space="preserve"> T.145N., R.30W., Sect. 10-1</w:t>
            </w:r>
            <w:r w:rsidR="00197BCD">
              <w:rPr>
                <w:rFonts w:ascii="Calibri" w:eastAsia="Times New Roman" w:hAnsi="Calibri" w:cs="Times New Roman"/>
                <w:color w:val="000000"/>
              </w:rPr>
              <w:t>2</w:t>
            </w:r>
          </w:p>
        </w:tc>
        <w:tc>
          <w:tcPr>
            <w:tcW w:w="4496" w:type="dxa"/>
            <w:gridSpan w:val="4"/>
            <w:tcBorders>
              <w:top w:val="single" w:sz="4" w:space="0" w:color="auto"/>
              <w:left w:val="nil"/>
              <w:bottom w:val="single" w:sz="4" w:space="0" w:color="auto"/>
              <w:right w:val="single" w:sz="4" w:space="0" w:color="auto"/>
            </w:tcBorders>
            <w:shd w:val="clear" w:color="auto" w:fill="auto"/>
            <w:noWrap/>
            <w:vAlign w:val="bottom"/>
            <w:hideMark/>
          </w:tcPr>
          <w:p w14:paraId="4C695579" w14:textId="44E635B7" w:rsidR="00B46231" w:rsidRPr="00197BCD" w:rsidRDefault="00B46231" w:rsidP="00197BCD">
            <w:pPr>
              <w:pStyle w:val="TableParagraph"/>
              <w:spacing w:before="64" w:line="213" w:lineRule="exact"/>
              <w:ind w:left="139"/>
              <w:rPr>
                <w:rFonts w:ascii="Calibri" w:eastAsia="Times New Roman" w:hAnsi="Calibri" w:cs="Times New Roman"/>
                <w:color w:val="000000"/>
              </w:rPr>
            </w:pPr>
            <w:r w:rsidRPr="00B46231">
              <w:rPr>
                <w:rFonts w:ascii="Calibri" w:eastAsia="Times New Roman" w:hAnsi="Calibri" w:cs="Times New Roman"/>
                <w:b/>
                <w:bCs/>
                <w:color w:val="000000"/>
              </w:rPr>
              <w:t>Phase:</w:t>
            </w:r>
            <w:r w:rsidR="00197BCD">
              <w:rPr>
                <w:rFonts w:ascii="Calibri" w:eastAsia="Times New Roman" w:hAnsi="Calibri" w:cs="Times New Roman"/>
                <w:b/>
                <w:bCs/>
                <w:color w:val="000000"/>
              </w:rPr>
              <w:t xml:space="preserve"> </w:t>
            </w:r>
            <w:r w:rsidR="00197BCD" w:rsidRPr="00197BCD">
              <w:rPr>
                <w:rFonts w:ascii="Calibri" w:eastAsia="Times New Roman" w:hAnsi="Calibri" w:cs="Times New Roman"/>
                <w:color w:val="000000"/>
              </w:rPr>
              <w:t>02032/6: b11</w:t>
            </w:r>
            <w:r w:rsidR="00197BCD">
              <w:rPr>
                <w:rFonts w:ascii="Calibri" w:eastAsia="Times New Roman" w:hAnsi="Calibri" w:cs="Times New Roman"/>
                <w:color w:val="000000"/>
              </w:rPr>
              <w:t xml:space="preserve">      </w:t>
            </w:r>
            <w:r w:rsidR="00197BCD" w:rsidRPr="00197BCD">
              <w:rPr>
                <w:rFonts w:ascii="Calibri" w:eastAsia="Times New Roman" w:hAnsi="Calibri" w:cs="Times New Roman"/>
                <w:color w:val="000000"/>
              </w:rPr>
              <w:t xml:space="preserve"> 02057/30+31: c11</w:t>
            </w:r>
          </w:p>
        </w:tc>
      </w:tr>
      <w:tr w:rsidR="00B46231" w:rsidRPr="00B46231" w14:paraId="16AE0998" w14:textId="77777777" w:rsidTr="00D13CA4">
        <w:trPr>
          <w:trHeight w:val="332"/>
        </w:trPr>
        <w:tc>
          <w:tcPr>
            <w:tcW w:w="4854"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094570" w14:textId="5F47973F" w:rsidR="00B46231" w:rsidRPr="00B46231" w:rsidRDefault="00B46231" w:rsidP="00B46231">
            <w:pPr>
              <w:spacing w:after="0" w:line="240" w:lineRule="auto"/>
              <w:rPr>
                <w:rFonts w:ascii="Calibri" w:eastAsia="Times New Roman" w:hAnsi="Calibri" w:cs="Times New Roman"/>
                <w:color w:val="000000"/>
              </w:rPr>
            </w:pPr>
            <w:r w:rsidRPr="00B46231">
              <w:rPr>
                <w:rFonts w:ascii="Calibri" w:eastAsia="Times New Roman" w:hAnsi="Calibri" w:cs="Times New Roman"/>
                <w:b/>
                <w:bCs/>
                <w:color w:val="000000"/>
              </w:rPr>
              <w:t xml:space="preserve">Landscape Ecosystem: </w:t>
            </w:r>
            <w:r w:rsidRPr="00B46231">
              <w:rPr>
                <w:rFonts w:ascii="Calibri" w:eastAsia="Times New Roman" w:hAnsi="Calibri" w:cs="Times New Roman"/>
                <w:color w:val="000000"/>
              </w:rPr>
              <w:t xml:space="preserve"> Dry Pine</w:t>
            </w:r>
          </w:p>
        </w:tc>
        <w:tc>
          <w:tcPr>
            <w:tcW w:w="4496" w:type="dxa"/>
            <w:gridSpan w:val="4"/>
            <w:tcBorders>
              <w:top w:val="single" w:sz="4" w:space="0" w:color="auto"/>
              <w:left w:val="nil"/>
              <w:bottom w:val="single" w:sz="4" w:space="0" w:color="auto"/>
              <w:right w:val="single" w:sz="4" w:space="0" w:color="auto"/>
            </w:tcBorders>
            <w:shd w:val="clear" w:color="auto" w:fill="auto"/>
            <w:vAlign w:val="bottom"/>
            <w:hideMark/>
          </w:tcPr>
          <w:p w14:paraId="27B99C4D" w14:textId="2B8DE227" w:rsidR="00B46231" w:rsidRPr="00B46231" w:rsidRDefault="00B46231" w:rsidP="00B46231">
            <w:pPr>
              <w:spacing w:after="0" w:line="240" w:lineRule="auto"/>
              <w:rPr>
                <w:rFonts w:ascii="Calibri" w:eastAsia="Times New Roman" w:hAnsi="Calibri" w:cs="Times New Roman"/>
                <w:color w:val="000000"/>
              </w:rPr>
            </w:pPr>
            <w:r w:rsidRPr="00B46231">
              <w:rPr>
                <w:rFonts w:ascii="Calibri" w:eastAsia="Times New Roman" w:hAnsi="Calibri" w:cs="Times New Roman"/>
                <w:b/>
                <w:bCs/>
                <w:color w:val="000000"/>
              </w:rPr>
              <w:t xml:space="preserve">Management Area: </w:t>
            </w:r>
            <w:r w:rsidRPr="00B46231">
              <w:rPr>
                <w:rFonts w:ascii="Calibri" w:eastAsia="Times New Roman" w:hAnsi="Calibri" w:cs="Times New Roman"/>
                <w:color w:val="000000"/>
              </w:rPr>
              <w:t xml:space="preserve"> General Forest </w:t>
            </w:r>
          </w:p>
        </w:tc>
      </w:tr>
      <w:tr w:rsidR="00D13CA4" w:rsidRPr="00B46231" w14:paraId="29A0E7E9" w14:textId="77777777" w:rsidTr="00D13CA4">
        <w:trPr>
          <w:trHeight w:val="600"/>
        </w:trPr>
        <w:tc>
          <w:tcPr>
            <w:tcW w:w="1001" w:type="dxa"/>
            <w:tcBorders>
              <w:top w:val="nil"/>
              <w:left w:val="single" w:sz="4" w:space="0" w:color="auto"/>
              <w:bottom w:val="single" w:sz="4" w:space="0" w:color="auto"/>
              <w:right w:val="single" w:sz="4" w:space="0" w:color="auto"/>
            </w:tcBorders>
            <w:shd w:val="clear" w:color="auto" w:fill="auto"/>
            <w:noWrap/>
            <w:vAlign w:val="bottom"/>
            <w:hideMark/>
          </w:tcPr>
          <w:p w14:paraId="139C6F15" w14:textId="77777777" w:rsidR="00B46231" w:rsidRPr="00B46231" w:rsidRDefault="00B46231" w:rsidP="00B46231">
            <w:pPr>
              <w:spacing w:after="0" w:line="240" w:lineRule="auto"/>
              <w:jc w:val="center"/>
              <w:rPr>
                <w:rFonts w:ascii="Calibri" w:eastAsia="Times New Roman" w:hAnsi="Calibri" w:cs="Times New Roman"/>
                <w:b/>
                <w:bCs/>
                <w:color w:val="000000"/>
              </w:rPr>
            </w:pPr>
            <w:r w:rsidRPr="00B46231">
              <w:rPr>
                <w:rFonts w:ascii="Calibri" w:eastAsia="Times New Roman" w:hAnsi="Calibri" w:cs="Times New Roman"/>
                <w:b/>
                <w:bCs/>
                <w:color w:val="000000"/>
              </w:rPr>
              <w:t>Location</w:t>
            </w:r>
          </w:p>
        </w:tc>
        <w:tc>
          <w:tcPr>
            <w:tcW w:w="873" w:type="dxa"/>
            <w:tcBorders>
              <w:top w:val="nil"/>
              <w:left w:val="nil"/>
              <w:bottom w:val="single" w:sz="4" w:space="0" w:color="auto"/>
              <w:right w:val="single" w:sz="4" w:space="0" w:color="auto"/>
            </w:tcBorders>
            <w:shd w:val="clear" w:color="auto" w:fill="auto"/>
            <w:noWrap/>
            <w:vAlign w:val="bottom"/>
            <w:hideMark/>
          </w:tcPr>
          <w:p w14:paraId="735E3D8F" w14:textId="77777777" w:rsidR="00B46231" w:rsidRPr="00B46231" w:rsidRDefault="00B46231" w:rsidP="00B46231">
            <w:pPr>
              <w:spacing w:after="0" w:line="240" w:lineRule="auto"/>
              <w:jc w:val="center"/>
              <w:rPr>
                <w:rFonts w:ascii="Calibri" w:eastAsia="Times New Roman" w:hAnsi="Calibri" w:cs="Times New Roman"/>
                <w:b/>
                <w:bCs/>
                <w:color w:val="000000"/>
              </w:rPr>
            </w:pPr>
            <w:r w:rsidRPr="00B46231">
              <w:rPr>
                <w:rFonts w:ascii="Calibri" w:eastAsia="Times New Roman" w:hAnsi="Calibri" w:cs="Times New Roman"/>
                <w:b/>
                <w:bCs/>
                <w:color w:val="000000"/>
              </w:rPr>
              <w:t>Stand</w:t>
            </w:r>
          </w:p>
        </w:tc>
        <w:tc>
          <w:tcPr>
            <w:tcW w:w="793" w:type="dxa"/>
            <w:tcBorders>
              <w:top w:val="nil"/>
              <w:left w:val="nil"/>
              <w:bottom w:val="single" w:sz="4" w:space="0" w:color="auto"/>
              <w:right w:val="single" w:sz="4" w:space="0" w:color="auto"/>
            </w:tcBorders>
            <w:shd w:val="clear" w:color="auto" w:fill="auto"/>
            <w:vAlign w:val="bottom"/>
            <w:hideMark/>
          </w:tcPr>
          <w:p w14:paraId="016C9B5A" w14:textId="77777777" w:rsidR="00B46231" w:rsidRPr="00B46231" w:rsidRDefault="00B46231" w:rsidP="00B46231">
            <w:pPr>
              <w:spacing w:after="0" w:line="240" w:lineRule="auto"/>
              <w:jc w:val="center"/>
              <w:rPr>
                <w:rFonts w:ascii="Calibri" w:eastAsia="Times New Roman" w:hAnsi="Calibri" w:cs="Times New Roman"/>
                <w:b/>
                <w:bCs/>
                <w:color w:val="000000"/>
              </w:rPr>
            </w:pPr>
            <w:r w:rsidRPr="00B46231">
              <w:rPr>
                <w:rFonts w:ascii="Calibri" w:eastAsia="Times New Roman" w:hAnsi="Calibri" w:cs="Times New Roman"/>
                <w:b/>
                <w:bCs/>
                <w:color w:val="000000"/>
              </w:rPr>
              <w:t>Stand</w:t>
            </w:r>
            <w:r w:rsidRPr="00B46231">
              <w:rPr>
                <w:rFonts w:ascii="Calibri" w:eastAsia="Times New Roman" w:hAnsi="Calibri" w:cs="Times New Roman"/>
                <w:b/>
                <w:bCs/>
                <w:color w:val="000000"/>
              </w:rPr>
              <w:br/>
              <w:t>Acres</w:t>
            </w:r>
          </w:p>
        </w:tc>
        <w:tc>
          <w:tcPr>
            <w:tcW w:w="1284" w:type="dxa"/>
            <w:tcBorders>
              <w:top w:val="nil"/>
              <w:left w:val="nil"/>
              <w:bottom w:val="single" w:sz="4" w:space="0" w:color="auto"/>
              <w:right w:val="single" w:sz="4" w:space="0" w:color="auto"/>
            </w:tcBorders>
            <w:shd w:val="clear" w:color="auto" w:fill="auto"/>
            <w:vAlign w:val="bottom"/>
            <w:hideMark/>
          </w:tcPr>
          <w:p w14:paraId="3E907DAC" w14:textId="77777777" w:rsidR="00B46231" w:rsidRPr="00B46231" w:rsidRDefault="00B46231" w:rsidP="00B46231">
            <w:pPr>
              <w:spacing w:after="0" w:line="240" w:lineRule="auto"/>
              <w:jc w:val="center"/>
              <w:rPr>
                <w:rFonts w:ascii="Calibri" w:eastAsia="Times New Roman" w:hAnsi="Calibri" w:cs="Times New Roman"/>
                <w:b/>
                <w:bCs/>
                <w:color w:val="000000"/>
              </w:rPr>
            </w:pPr>
            <w:r w:rsidRPr="00B46231">
              <w:rPr>
                <w:rFonts w:ascii="Calibri" w:eastAsia="Times New Roman" w:hAnsi="Calibri" w:cs="Times New Roman"/>
                <w:b/>
                <w:bCs/>
                <w:color w:val="000000"/>
              </w:rPr>
              <w:t>Treatment</w:t>
            </w:r>
            <w:r w:rsidRPr="00B46231">
              <w:rPr>
                <w:rFonts w:ascii="Calibri" w:eastAsia="Times New Roman" w:hAnsi="Calibri" w:cs="Times New Roman"/>
                <w:b/>
                <w:bCs/>
                <w:color w:val="000000"/>
              </w:rPr>
              <w:br/>
              <w:t>Acres</w:t>
            </w:r>
          </w:p>
        </w:tc>
        <w:tc>
          <w:tcPr>
            <w:tcW w:w="903" w:type="dxa"/>
            <w:tcBorders>
              <w:top w:val="nil"/>
              <w:left w:val="nil"/>
              <w:bottom w:val="single" w:sz="4" w:space="0" w:color="auto"/>
              <w:right w:val="single" w:sz="4" w:space="0" w:color="auto"/>
            </w:tcBorders>
            <w:shd w:val="clear" w:color="auto" w:fill="auto"/>
            <w:vAlign w:val="bottom"/>
            <w:hideMark/>
          </w:tcPr>
          <w:p w14:paraId="48320F3E" w14:textId="77777777" w:rsidR="00B46231" w:rsidRPr="00B46231" w:rsidRDefault="00B46231" w:rsidP="00B46231">
            <w:pPr>
              <w:spacing w:after="0" w:line="240" w:lineRule="auto"/>
              <w:jc w:val="center"/>
              <w:rPr>
                <w:rFonts w:ascii="Calibri" w:eastAsia="Times New Roman" w:hAnsi="Calibri" w:cs="Times New Roman"/>
                <w:b/>
                <w:bCs/>
                <w:color w:val="000000"/>
              </w:rPr>
            </w:pPr>
            <w:r w:rsidRPr="00B46231">
              <w:rPr>
                <w:rFonts w:ascii="Calibri" w:eastAsia="Times New Roman" w:hAnsi="Calibri" w:cs="Times New Roman"/>
                <w:b/>
                <w:bCs/>
                <w:color w:val="000000"/>
              </w:rPr>
              <w:t>Year of</w:t>
            </w:r>
            <w:r w:rsidRPr="00B46231">
              <w:rPr>
                <w:rFonts w:ascii="Calibri" w:eastAsia="Times New Roman" w:hAnsi="Calibri" w:cs="Times New Roman"/>
                <w:b/>
                <w:bCs/>
                <w:color w:val="000000"/>
              </w:rPr>
              <w:br/>
              <w:t>Origin</w:t>
            </w:r>
          </w:p>
        </w:tc>
        <w:tc>
          <w:tcPr>
            <w:tcW w:w="1128" w:type="dxa"/>
            <w:tcBorders>
              <w:top w:val="nil"/>
              <w:left w:val="nil"/>
              <w:bottom w:val="single" w:sz="4" w:space="0" w:color="auto"/>
              <w:right w:val="single" w:sz="4" w:space="0" w:color="auto"/>
            </w:tcBorders>
            <w:shd w:val="clear" w:color="auto" w:fill="auto"/>
            <w:vAlign w:val="bottom"/>
            <w:hideMark/>
          </w:tcPr>
          <w:p w14:paraId="437FA812" w14:textId="77777777" w:rsidR="00B46231" w:rsidRPr="00B46231" w:rsidRDefault="00B46231" w:rsidP="00B46231">
            <w:pPr>
              <w:spacing w:after="0" w:line="240" w:lineRule="auto"/>
              <w:jc w:val="center"/>
              <w:rPr>
                <w:rFonts w:ascii="Calibri" w:eastAsia="Times New Roman" w:hAnsi="Calibri" w:cs="Times New Roman"/>
                <w:b/>
                <w:bCs/>
                <w:color w:val="000000"/>
              </w:rPr>
            </w:pPr>
            <w:r w:rsidRPr="00B46231">
              <w:rPr>
                <w:rFonts w:ascii="Calibri" w:eastAsia="Times New Roman" w:hAnsi="Calibri" w:cs="Times New Roman"/>
                <w:b/>
                <w:bCs/>
                <w:color w:val="000000"/>
              </w:rPr>
              <w:t>Ave BA</w:t>
            </w:r>
            <w:r w:rsidRPr="00B46231">
              <w:rPr>
                <w:rFonts w:ascii="Calibri" w:eastAsia="Times New Roman" w:hAnsi="Calibri" w:cs="Times New Roman"/>
                <w:b/>
                <w:bCs/>
                <w:color w:val="000000"/>
              </w:rPr>
              <w:br/>
              <w:t>(&gt;5")</w:t>
            </w:r>
          </w:p>
        </w:tc>
        <w:tc>
          <w:tcPr>
            <w:tcW w:w="1033" w:type="dxa"/>
            <w:tcBorders>
              <w:top w:val="nil"/>
              <w:left w:val="nil"/>
              <w:bottom w:val="single" w:sz="4" w:space="0" w:color="auto"/>
              <w:right w:val="single" w:sz="4" w:space="0" w:color="auto"/>
            </w:tcBorders>
            <w:shd w:val="clear" w:color="auto" w:fill="auto"/>
            <w:vAlign w:val="bottom"/>
            <w:hideMark/>
          </w:tcPr>
          <w:p w14:paraId="135F9F9F" w14:textId="77777777" w:rsidR="00B46231" w:rsidRPr="00B46231" w:rsidRDefault="00B46231" w:rsidP="00B46231">
            <w:pPr>
              <w:spacing w:after="0" w:line="240" w:lineRule="auto"/>
              <w:jc w:val="center"/>
              <w:rPr>
                <w:rFonts w:ascii="Calibri" w:eastAsia="Times New Roman" w:hAnsi="Calibri" w:cs="Times New Roman"/>
                <w:b/>
                <w:bCs/>
                <w:color w:val="000000"/>
              </w:rPr>
            </w:pPr>
            <w:r w:rsidRPr="00B46231">
              <w:rPr>
                <w:rFonts w:ascii="Calibri" w:eastAsia="Times New Roman" w:hAnsi="Calibri" w:cs="Times New Roman"/>
                <w:b/>
                <w:bCs/>
                <w:color w:val="000000"/>
              </w:rPr>
              <w:t>Ave DBH</w:t>
            </w:r>
            <w:r w:rsidRPr="00B46231">
              <w:rPr>
                <w:rFonts w:ascii="Calibri" w:eastAsia="Times New Roman" w:hAnsi="Calibri" w:cs="Times New Roman"/>
                <w:b/>
                <w:bCs/>
                <w:color w:val="000000"/>
              </w:rPr>
              <w:br/>
              <w:t>(&gt;5")</w:t>
            </w:r>
          </w:p>
        </w:tc>
        <w:tc>
          <w:tcPr>
            <w:tcW w:w="773" w:type="dxa"/>
            <w:tcBorders>
              <w:top w:val="nil"/>
              <w:left w:val="nil"/>
              <w:bottom w:val="single" w:sz="4" w:space="0" w:color="auto"/>
              <w:right w:val="single" w:sz="4" w:space="0" w:color="auto"/>
            </w:tcBorders>
            <w:shd w:val="clear" w:color="auto" w:fill="auto"/>
            <w:vAlign w:val="bottom"/>
            <w:hideMark/>
          </w:tcPr>
          <w:p w14:paraId="567B4B83" w14:textId="77777777" w:rsidR="00B46231" w:rsidRPr="00B46231" w:rsidRDefault="00B46231" w:rsidP="00B46231">
            <w:pPr>
              <w:spacing w:after="0" w:line="240" w:lineRule="auto"/>
              <w:jc w:val="center"/>
              <w:rPr>
                <w:rFonts w:ascii="Calibri" w:eastAsia="Times New Roman" w:hAnsi="Calibri" w:cs="Times New Roman"/>
                <w:b/>
                <w:bCs/>
                <w:color w:val="000000"/>
              </w:rPr>
            </w:pPr>
            <w:r w:rsidRPr="00B46231">
              <w:rPr>
                <w:rFonts w:ascii="Calibri" w:eastAsia="Times New Roman" w:hAnsi="Calibri" w:cs="Times New Roman"/>
                <w:b/>
                <w:bCs/>
                <w:color w:val="000000"/>
              </w:rPr>
              <w:t>Site</w:t>
            </w:r>
            <w:r w:rsidRPr="00B46231">
              <w:rPr>
                <w:rFonts w:ascii="Calibri" w:eastAsia="Times New Roman" w:hAnsi="Calibri" w:cs="Times New Roman"/>
                <w:b/>
                <w:bCs/>
                <w:color w:val="000000"/>
              </w:rPr>
              <w:br/>
              <w:t>Index</w:t>
            </w:r>
          </w:p>
        </w:tc>
        <w:tc>
          <w:tcPr>
            <w:tcW w:w="1562" w:type="dxa"/>
            <w:tcBorders>
              <w:top w:val="nil"/>
              <w:left w:val="nil"/>
              <w:bottom w:val="single" w:sz="4" w:space="0" w:color="auto"/>
              <w:right w:val="single" w:sz="4" w:space="0" w:color="auto"/>
            </w:tcBorders>
            <w:shd w:val="clear" w:color="auto" w:fill="auto"/>
            <w:vAlign w:val="bottom"/>
            <w:hideMark/>
          </w:tcPr>
          <w:p w14:paraId="530CB5A2" w14:textId="77777777" w:rsidR="00B46231" w:rsidRPr="00B46231" w:rsidRDefault="00B46231" w:rsidP="00B46231">
            <w:pPr>
              <w:spacing w:after="0" w:line="240" w:lineRule="auto"/>
              <w:jc w:val="center"/>
              <w:rPr>
                <w:rFonts w:ascii="Calibri" w:eastAsia="Times New Roman" w:hAnsi="Calibri" w:cs="Times New Roman"/>
                <w:b/>
                <w:bCs/>
                <w:color w:val="000000"/>
              </w:rPr>
            </w:pPr>
            <w:r w:rsidRPr="00B46231">
              <w:rPr>
                <w:rFonts w:ascii="Calibri" w:eastAsia="Times New Roman" w:hAnsi="Calibri" w:cs="Times New Roman"/>
                <w:b/>
                <w:bCs/>
                <w:color w:val="000000"/>
              </w:rPr>
              <w:t>SIO</w:t>
            </w:r>
          </w:p>
        </w:tc>
      </w:tr>
      <w:tr w:rsidR="00D13CA4" w:rsidRPr="00B46231" w14:paraId="639E7AAF" w14:textId="77777777" w:rsidTr="00D13CA4">
        <w:trPr>
          <w:trHeight w:val="300"/>
        </w:trPr>
        <w:tc>
          <w:tcPr>
            <w:tcW w:w="1001" w:type="dxa"/>
            <w:tcBorders>
              <w:top w:val="nil"/>
              <w:left w:val="single" w:sz="4" w:space="0" w:color="auto"/>
              <w:bottom w:val="single" w:sz="4" w:space="0" w:color="auto"/>
              <w:right w:val="single" w:sz="4" w:space="0" w:color="auto"/>
            </w:tcBorders>
            <w:shd w:val="clear" w:color="auto" w:fill="auto"/>
            <w:noWrap/>
            <w:vAlign w:val="bottom"/>
            <w:hideMark/>
          </w:tcPr>
          <w:p w14:paraId="1CEDAA3E"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02032</w:t>
            </w:r>
          </w:p>
        </w:tc>
        <w:tc>
          <w:tcPr>
            <w:tcW w:w="873" w:type="dxa"/>
            <w:tcBorders>
              <w:top w:val="nil"/>
              <w:left w:val="nil"/>
              <w:bottom w:val="single" w:sz="4" w:space="0" w:color="auto"/>
              <w:right w:val="single" w:sz="4" w:space="0" w:color="auto"/>
            </w:tcBorders>
            <w:shd w:val="clear" w:color="auto" w:fill="auto"/>
            <w:noWrap/>
            <w:vAlign w:val="bottom"/>
            <w:hideMark/>
          </w:tcPr>
          <w:p w14:paraId="64A8C2C5"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6</w:t>
            </w:r>
          </w:p>
        </w:tc>
        <w:tc>
          <w:tcPr>
            <w:tcW w:w="793" w:type="dxa"/>
            <w:tcBorders>
              <w:top w:val="nil"/>
              <w:left w:val="nil"/>
              <w:bottom w:val="single" w:sz="4" w:space="0" w:color="auto"/>
              <w:right w:val="single" w:sz="4" w:space="0" w:color="auto"/>
            </w:tcBorders>
            <w:shd w:val="clear" w:color="auto" w:fill="auto"/>
            <w:noWrap/>
            <w:vAlign w:val="bottom"/>
            <w:hideMark/>
          </w:tcPr>
          <w:p w14:paraId="3944ECE3"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16.3</w:t>
            </w:r>
          </w:p>
        </w:tc>
        <w:tc>
          <w:tcPr>
            <w:tcW w:w="1284" w:type="dxa"/>
            <w:tcBorders>
              <w:top w:val="nil"/>
              <w:left w:val="nil"/>
              <w:bottom w:val="single" w:sz="4" w:space="0" w:color="auto"/>
              <w:right w:val="single" w:sz="4" w:space="0" w:color="auto"/>
            </w:tcBorders>
            <w:shd w:val="clear" w:color="auto" w:fill="auto"/>
            <w:noWrap/>
            <w:vAlign w:val="bottom"/>
            <w:hideMark/>
          </w:tcPr>
          <w:p w14:paraId="24409AD5"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16.3</w:t>
            </w:r>
          </w:p>
        </w:tc>
        <w:tc>
          <w:tcPr>
            <w:tcW w:w="903" w:type="dxa"/>
            <w:tcBorders>
              <w:top w:val="nil"/>
              <w:left w:val="nil"/>
              <w:bottom w:val="single" w:sz="4" w:space="0" w:color="auto"/>
              <w:right w:val="single" w:sz="4" w:space="0" w:color="auto"/>
            </w:tcBorders>
            <w:shd w:val="clear" w:color="auto" w:fill="auto"/>
            <w:noWrap/>
            <w:vAlign w:val="bottom"/>
            <w:hideMark/>
          </w:tcPr>
          <w:p w14:paraId="5D80931A"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1982</w:t>
            </w:r>
          </w:p>
        </w:tc>
        <w:tc>
          <w:tcPr>
            <w:tcW w:w="1128" w:type="dxa"/>
            <w:tcBorders>
              <w:top w:val="nil"/>
              <w:left w:val="nil"/>
              <w:bottom w:val="single" w:sz="4" w:space="0" w:color="auto"/>
              <w:right w:val="single" w:sz="4" w:space="0" w:color="auto"/>
            </w:tcBorders>
            <w:shd w:val="clear" w:color="auto" w:fill="auto"/>
            <w:noWrap/>
            <w:vAlign w:val="bottom"/>
            <w:hideMark/>
          </w:tcPr>
          <w:p w14:paraId="28982F5A"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158</w:t>
            </w:r>
          </w:p>
        </w:tc>
        <w:tc>
          <w:tcPr>
            <w:tcW w:w="1033" w:type="dxa"/>
            <w:tcBorders>
              <w:top w:val="nil"/>
              <w:left w:val="nil"/>
              <w:bottom w:val="single" w:sz="4" w:space="0" w:color="auto"/>
              <w:right w:val="single" w:sz="4" w:space="0" w:color="auto"/>
            </w:tcBorders>
            <w:shd w:val="clear" w:color="auto" w:fill="auto"/>
            <w:noWrap/>
            <w:vAlign w:val="bottom"/>
            <w:hideMark/>
          </w:tcPr>
          <w:p w14:paraId="715D608A"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9</w:t>
            </w:r>
          </w:p>
        </w:tc>
        <w:tc>
          <w:tcPr>
            <w:tcW w:w="773" w:type="dxa"/>
            <w:tcBorders>
              <w:top w:val="nil"/>
              <w:left w:val="nil"/>
              <w:bottom w:val="single" w:sz="4" w:space="0" w:color="auto"/>
              <w:right w:val="single" w:sz="4" w:space="0" w:color="auto"/>
            </w:tcBorders>
            <w:shd w:val="clear" w:color="auto" w:fill="auto"/>
            <w:noWrap/>
            <w:vAlign w:val="bottom"/>
            <w:hideMark/>
          </w:tcPr>
          <w:p w14:paraId="264D8DF6"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78.6</w:t>
            </w:r>
          </w:p>
        </w:tc>
        <w:tc>
          <w:tcPr>
            <w:tcW w:w="1562" w:type="dxa"/>
            <w:tcBorders>
              <w:top w:val="nil"/>
              <w:left w:val="nil"/>
              <w:bottom w:val="single" w:sz="4" w:space="0" w:color="auto"/>
              <w:right w:val="single" w:sz="4" w:space="0" w:color="auto"/>
            </w:tcBorders>
            <w:shd w:val="clear" w:color="auto" w:fill="auto"/>
            <w:noWrap/>
            <w:vAlign w:val="bottom"/>
            <w:hideMark/>
          </w:tcPr>
          <w:p w14:paraId="084BEBB7" w14:textId="50BF09EE" w:rsidR="00B46231" w:rsidRPr="00B46231" w:rsidRDefault="00D13CA4" w:rsidP="00B46231">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Low</w:t>
            </w:r>
          </w:p>
        </w:tc>
      </w:tr>
      <w:tr w:rsidR="00D13CA4" w:rsidRPr="00B46231" w14:paraId="74440AAD" w14:textId="77777777" w:rsidTr="00D13CA4">
        <w:trPr>
          <w:trHeight w:val="300"/>
        </w:trPr>
        <w:tc>
          <w:tcPr>
            <w:tcW w:w="1001" w:type="dxa"/>
            <w:tcBorders>
              <w:top w:val="nil"/>
              <w:left w:val="single" w:sz="4" w:space="0" w:color="auto"/>
              <w:bottom w:val="single" w:sz="4" w:space="0" w:color="auto"/>
              <w:right w:val="single" w:sz="4" w:space="0" w:color="auto"/>
            </w:tcBorders>
            <w:shd w:val="clear" w:color="auto" w:fill="auto"/>
            <w:noWrap/>
            <w:vAlign w:val="bottom"/>
            <w:hideMark/>
          </w:tcPr>
          <w:p w14:paraId="51D5760C"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02057</w:t>
            </w:r>
          </w:p>
        </w:tc>
        <w:tc>
          <w:tcPr>
            <w:tcW w:w="873" w:type="dxa"/>
            <w:tcBorders>
              <w:top w:val="nil"/>
              <w:left w:val="nil"/>
              <w:bottom w:val="single" w:sz="4" w:space="0" w:color="auto"/>
              <w:right w:val="single" w:sz="4" w:space="0" w:color="auto"/>
            </w:tcBorders>
            <w:shd w:val="clear" w:color="auto" w:fill="auto"/>
            <w:noWrap/>
            <w:vAlign w:val="bottom"/>
            <w:hideMark/>
          </w:tcPr>
          <w:p w14:paraId="051E8879"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30</w:t>
            </w:r>
          </w:p>
        </w:tc>
        <w:tc>
          <w:tcPr>
            <w:tcW w:w="793" w:type="dxa"/>
            <w:tcBorders>
              <w:top w:val="nil"/>
              <w:left w:val="nil"/>
              <w:bottom w:val="single" w:sz="4" w:space="0" w:color="auto"/>
              <w:right w:val="single" w:sz="4" w:space="0" w:color="auto"/>
            </w:tcBorders>
            <w:shd w:val="clear" w:color="auto" w:fill="auto"/>
            <w:noWrap/>
            <w:vAlign w:val="bottom"/>
            <w:hideMark/>
          </w:tcPr>
          <w:p w14:paraId="7F6642D3"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19.5</w:t>
            </w:r>
          </w:p>
        </w:tc>
        <w:tc>
          <w:tcPr>
            <w:tcW w:w="1284" w:type="dxa"/>
            <w:tcBorders>
              <w:top w:val="nil"/>
              <w:left w:val="nil"/>
              <w:bottom w:val="single" w:sz="4" w:space="0" w:color="auto"/>
              <w:right w:val="single" w:sz="4" w:space="0" w:color="auto"/>
            </w:tcBorders>
            <w:shd w:val="clear" w:color="auto" w:fill="auto"/>
            <w:noWrap/>
            <w:vAlign w:val="bottom"/>
            <w:hideMark/>
          </w:tcPr>
          <w:p w14:paraId="111E93B0"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19.5</w:t>
            </w:r>
          </w:p>
        </w:tc>
        <w:tc>
          <w:tcPr>
            <w:tcW w:w="903" w:type="dxa"/>
            <w:tcBorders>
              <w:top w:val="nil"/>
              <w:left w:val="nil"/>
              <w:bottom w:val="single" w:sz="4" w:space="0" w:color="auto"/>
              <w:right w:val="single" w:sz="4" w:space="0" w:color="auto"/>
            </w:tcBorders>
            <w:shd w:val="clear" w:color="auto" w:fill="auto"/>
            <w:noWrap/>
            <w:vAlign w:val="bottom"/>
            <w:hideMark/>
          </w:tcPr>
          <w:p w14:paraId="5D14844D"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1981</w:t>
            </w:r>
          </w:p>
        </w:tc>
        <w:tc>
          <w:tcPr>
            <w:tcW w:w="1128" w:type="dxa"/>
            <w:tcBorders>
              <w:top w:val="nil"/>
              <w:left w:val="nil"/>
              <w:bottom w:val="single" w:sz="4" w:space="0" w:color="auto"/>
              <w:right w:val="single" w:sz="4" w:space="0" w:color="auto"/>
            </w:tcBorders>
            <w:shd w:val="clear" w:color="auto" w:fill="auto"/>
            <w:noWrap/>
            <w:vAlign w:val="bottom"/>
            <w:hideMark/>
          </w:tcPr>
          <w:p w14:paraId="7724751B"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118</w:t>
            </w:r>
          </w:p>
        </w:tc>
        <w:tc>
          <w:tcPr>
            <w:tcW w:w="1033" w:type="dxa"/>
            <w:tcBorders>
              <w:top w:val="nil"/>
              <w:left w:val="nil"/>
              <w:bottom w:val="single" w:sz="4" w:space="0" w:color="auto"/>
              <w:right w:val="single" w:sz="4" w:space="0" w:color="auto"/>
            </w:tcBorders>
            <w:shd w:val="clear" w:color="auto" w:fill="auto"/>
            <w:noWrap/>
            <w:vAlign w:val="bottom"/>
            <w:hideMark/>
          </w:tcPr>
          <w:p w14:paraId="4CAD85AB"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9</w:t>
            </w:r>
          </w:p>
        </w:tc>
        <w:tc>
          <w:tcPr>
            <w:tcW w:w="773" w:type="dxa"/>
            <w:tcBorders>
              <w:top w:val="nil"/>
              <w:left w:val="nil"/>
              <w:bottom w:val="single" w:sz="4" w:space="0" w:color="auto"/>
              <w:right w:val="single" w:sz="4" w:space="0" w:color="auto"/>
            </w:tcBorders>
            <w:shd w:val="clear" w:color="auto" w:fill="auto"/>
            <w:noWrap/>
            <w:vAlign w:val="bottom"/>
            <w:hideMark/>
          </w:tcPr>
          <w:p w14:paraId="37EDCA83"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68.4</w:t>
            </w:r>
          </w:p>
        </w:tc>
        <w:tc>
          <w:tcPr>
            <w:tcW w:w="1562" w:type="dxa"/>
            <w:tcBorders>
              <w:top w:val="nil"/>
              <w:left w:val="nil"/>
              <w:bottom w:val="single" w:sz="4" w:space="0" w:color="auto"/>
              <w:right w:val="single" w:sz="4" w:space="0" w:color="auto"/>
            </w:tcBorders>
            <w:shd w:val="clear" w:color="auto" w:fill="auto"/>
            <w:noWrap/>
            <w:vAlign w:val="bottom"/>
            <w:hideMark/>
          </w:tcPr>
          <w:p w14:paraId="387ED1D1" w14:textId="18EA3EA4" w:rsidR="00B46231" w:rsidRPr="00B46231" w:rsidRDefault="00D13CA4" w:rsidP="00B46231">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Low/</w:t>
            </w:r>
            <w:r w:rsidR="00B46231" w:rsidRPr="00B46231">
              <w:rPr>
                <w:rFonts w:ascii="Calibri" w:eastAsia="Times New Roman" w:hAnsi="Calibri" w:cs="Times New Roman"/>
                <w:color w:val="000000"/>
              </w:rPr>
              <w:t>Moderate</w:t>
            </w:r>
          </w:p>
        </w:tc>
      </w:tr>
      <w:tr w:rsidR="00D13CA4" w:rsidRPr="00B46231" w14:paraId="43542BDE" w14:textId="77777777" w:rsidTr="00D13CA4">
        <w:trPr>
          <w:trHeight w:val="300"/>
        </w:trPr>
        <w:tc>
          <w:tcPr>
            <w:tcW w:w="1001" w:type="dxa"/>
            <w:tcBorders>
              <w:top w:val="nil"/>
              <w:left w:val="single" w:sz="4" w:space="0" w:color="auto"/>
              <w:bottom w:val="single" w:sz="4" w:space="0" w:color="auto"/>
              <w:right w:val="single" w:sz="4" w:space="0" w:color="auto"/>
            </w:tcBorders>
            <w:shd w:val="clear" w:color="auto" w:fill="auto"/>
            <w:noWrap/>
            <w:vAlign w:val="bottom"/>
            <w:hideMark/>
          </w:tcPr>
          <w:p w14:paraId="715A8130"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02057</w:t>
            </w:r>
          </w:p>
        </w:tc>
        <w:tc>
          <w:tcPr>
            <w:tcW w:w="873" w:type="dxa"/>
            <w:tcBorders>
              <w:top w:val="nil"/>
              <w:left w:val="nil"/>
              <w:bottom w:val="single" w:sz="4" w:space="0" w:color="auto"/>
              <w:right w:val="single" w:sz="4" w:space="0" w:color="auto"/>
            </w:tcBorders>
            <w:shd w:val="clear" w:color="auto" w:fill="auto"/>
            <w:noWrap/>
            <w:vAlign w:val="bottom"/>
            <w:hideMark/>
          </w:tcPr>
          <w:p w14:paraId="381AEF78"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31</w:t>
            </w:r>
          </w:p>
        </w:tc>
        <w:tc>
          <w:tcPr>
            <w:tcW w:w="793" w:type="dxa"/>
            <w:tcBorders>
              <w:top w:val="nil"/>
              <w:left w:val="nil"/>
              <w:bottom w:val="single" w:sz="4" w:space="0" w:color="auto"/>
              <w:right w:val="single" w:sz="4" w:space="0" w:color="auto"/>
            </w:tcBorders>
            <w:shd w:val="clear" w:color="auto" w:fill="auto"/>
            <w:noWrap/>
            <w:vAlign w:val="bottom"/>
            <w:hideMark/>
          </w:tcPr>
          <w:p w14:paraId="7C61B11F"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17.5</w:t>
            </w:r>
          </w:p>
        </w:tc>
        <w:tc>
          <w:tcPr>
            <w:tcW w:w="1284" w:type="dxa"/>
            <w:tcBorders>
              <w:top w:val="nil"/>
              <w:left w:val="nil"/>
              <w:bottom w:val="single" w:sz="4" w:space="0" w:color="auto"/>
              <w:right w:val="single" w:sz="4" w:space="0" w:color="auto"/>
            </w:tcBorders>
            <w:shd w:val="clear" w:color="auto" w:fill="auto"/>
            <w:noWrap/>
            <w:vAlign w:val="bottom"/>
            <w:hideMark/>
          </w:tcPr>
          <w:p w14:paraId="4AD4ECFE"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17.5</w:t>
            </w:r>
          </w:p>
        </w:tc>
        <w:tc>
          <w:tcPr>
            <w:tcW w:w="903" w:type="dxa"/>
            <w:tcBorders>
              <w:top w:val="nil"/>
              <w:left w:val="nil"/>
              <w:bottom w:val="single" w:sz="4" w:space="0" w:color="auto"/>
              <w:right w:val="single" w:sz="4" w:space="0" w:color="auto"/>
            </w:tcBorders>
            <w:shd w:val="clear" w:color="auto" w:fill="auto"/>
            <w:noWrap/>
            <w:vAlign w:val="bottom"/>
            <w:hideMark/>
          </w:tcPr>
          <w:p w14:paraId="6594BA7E"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1984</w:t>
            </w:r>
          </w:p>
        </w:tc>
        <w:tc>
          <w:tcPr>
            <w:tcW w:w="1128" w:type="dxa"/>
            <w:tcBorders>
              <w:top w:val="nil"/>
              <w:left w:val="nil"/>
              <w:bottom w:val="single" w:sz="4" w:space="0" w:color="auto"/>
              <w:right w:val="single" w:sz="4" w:space="0" w:color="auto"/>
            </w:tcBorders>
            <w:shd w:val="clear" w:color="auto" w:fill="auto"/>
            <w:noWrap/>
            <w:vAlign w:val="bottom"/>
            <w:hideMark/>
          </w:tcPr>
          <w:p w14:paraId="15C35509"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150</w:t>
            </w:r>
          </w:p>
        </w:tc>
        <w:tc>
          <w:tcPr>
            <w:tcW w:w="1033" w:type="dxa"/>
            <w:tcBorders>
              <w:top w:val="nil"/>
              <w:left w:val="nil"/>
              <w:bottom w:val="single" w:sz="4" w:space="0" w:color="auto"/>
              <w:right w:val="single" w:sz="4" w:space="0" w:color="auto"/>
            </w:tcBorders>
            <w:shd w:val="clear" w:color="auto" w:fill="auto"/>
            <w:noWrap/>
            <w:vAlign w:val="bottom"/>
            <w:hideMark/>
          </w:tcPr>
          <w:p w14:paraId="01A1E4E8"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7</w:t>
            </w:r>
          </w:p>
        </w:tc>
        <w:tc>
          <w:tcPr>
            <w:tcW w:w="773" w:type="dxa"/>
            <w:tcBorders>
              <w:top w:val="nil"/>
              <w:left w:val="nil"/>
              <w:bottom w:val="single" w:sz="4" w:space="0" w:color="auto"/>
              <w:right w:val="single" w:sz="4" w:space="0" w:color="auto"/>
            </w:tcBorders>
            <w:shd w:val="clear" w:color="auto" w:fill="auto"/>
            <w:noWrap/>
            <w:vAlign w:val="bottom"/>
            <w:hideMark/>
          </w:tcPr>
          <w:p w14:paraId="3AD75952"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67.6</w:t>
            </w:r>
          </w:p>
        </w:tc>
        <w:tc>
          <w:tcPr>
            <w:tcW w:w="1562" w:type="dxa"/>
            <w:tcBorders>
              <w:top w:val="nil"/>
              <w:left w:val="nil"/>
              <w:bottom w:val="single" w:sz="4" w:space="0" w:color="auto"/>
              <w:right w:val="single" w:sz="4" w:space="0" w:color="auto"/>
            </w:tcBorders>
            <w:shd w:val="clear" w:color="auto" w:fill="auto"/>
            <w:noWrap/>
            <w:vAlign w:val="bottom"/>
            <w:hideMark/>
          </w:tcPr>
          <w:p w14:paraId="728A6BBD" w14:textId="77777777" w:rsidR="00B46231" w:rsidRPr="00B46231" w:rsidRDefault="00B46231" w:rsidP="00B46231">
            <w:pPr>
              <w:spacing w:after="0" w:line="240" w:lineRule="auto"/>
              <w:jc w:val="center"/>
              <w:rPr>
                <w:rFonts w:ascii="Calibri" w:eastAsia="Times New Roman" w:hAnsi="Calibri" w:cs="Times New Roman"/>
                <w:color w:val="000000"/>
              </w:rPr>
            </w:pPr>
            <w:r w:rsidRPr="00B46231">
              <w:rPr>
                <w:rFonts w:ascii="Calibri" w:eastAsia="Times New Roman" w:hAnsi="Calibri" w:cs="Times New Roman"/>
                <w:color w:val="000000"/>
              </w:rPr>
              <w:t>Moderate</w:t>
            </w:r>
          </w:p>
        </w:tc>
      </w:tr>
    </w:tbl>
    <w:p w14:paraId="0F23C762" w14:textId="77777777" w:rsidR="007C702F" w:rsidRDefault="007C702F"/>
    <w:p w14:paraId="6AA4A502" w14:textId="77777777" w:rsidR="00D23BF4" w:rsidRDefault="00D23BF4"/>
    <w:p w14:paraId="495B3696" w14:textId="77777777" w:rsidR="00B46231" w:rsidRDefault="00B46231">
      <w:r>
        <w:t>Prepared By: __</w:t>
      </w:r>
      <w:r w:rsidR="00495C05" w:rsidRPr="00495C05">
        <w:rPr>
          <w:noProof/>
          <w:u w:val="single"/>
        </w:rPr>
        <w:drawing>
          <wp:inline distT="0" distB="0" distL="0" distR="0" wp14:anchorId="28A12B65" wp14:editId="4A0A8427">
            <wp:extent cx="1514475" cy="504825"/>
            <wp:effectExtent l="0" t="0" r="9525" b="9525"/>
            <wp:docPr id="1" name="Picture 1" descr="C:\Users\DRM\Desktop\KeithSignatur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RM\Desktop\KeithSignature[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14475" cy="504825"/>
                    </a:xfrm>
                    <a:prstGeom prst="rect">
                      <a:avLst/>
                    </a:prstGeom>
                    <a:noFill/>
                    <a:ln>
                      <a:noFill/>
                    </a:ln>
                  </pic:spPr>
                </pic:pic>
              </a:graphicData>
            </a:graphic>
          </wp:inline>
        </w:drawing>
      </w:r>
      <w:r w:rsidR="00495C05">
        <w:t>___</w:t>
      </w:r>
      <w:r>
        <w:t xml:space="preserve">  Date: ______</w:t>
      </w:r>
      <w:r w:rsidR="00495C05" w:rsidRPr="00495C05">
        <w:rPr>
          <w:u w:val="single"/>
        </w:rPr>
        <w:t>8-17-21</w:t>
      </w:r>
      <w:r w:rsidRPr="00495C05">
        <w:rPr>
          <w:u w:val="single"/>
        </w:rPr>
        <w:t>_</w:t>
      </w:r>
      <w:r>
        <w:t>______________</w:t>
      </w:r>
    </w:p>
    <w:p w14:paraId="4B49F1CE" w14:textId="77777777" w:rsidR="00D23BF4" w:rsidRDefault="00D23BF4"/>
    <w:p w14:paraId="6ECE5974" w14:textId="4F34639B" w:rsidR="00B46231" w:rsidRDefault="00B46231" w:rsidP="00B46231">
      <w:r>
        <w:t>Approved By: _</w:t>
      </w:r>
      <w:r w:rsidR="004046FD" w:rsidRPr="00354DA6">
        <w:rPr>
          <w:rFonts w:ascii="Calibri" w:hAnsi="Calibri" w:cs="Calibri"/>
          <w:b/>
          <w:noProof/>
        </w:rPr>
        <w:drawing>
          <wp:inline distT="0" distB="0" distL="0" distR="0" wp14:anchorId="115098B7" wp14:editId="38FAC15A">
            <wp:extent cx="1455420" cy="413151"/>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72949" cy="418127"/>
                    </a:xfrm>
                    <a:prstGeom prst="rect">
                      <a:avLst/>
                    </a:prstGeom>
                    <a:noFill/>
                    <a:ln>
                      <a:noFill/>
                    </a:ln>
                  </pic:spPr>
                </pic:pic>
              </a:graphicData>
            </a:graphic>
          </wp:inline>
        </w:drawing>
      </w:r>
      <w:r>
        <w:t>____   Date: ______</w:t>
      </w:r>
      <w:r w:rsidR="004046FD">
        <w:t>1-25-2022</w:t>
      </w:r>
      <w:r>
        <w:t>_____________</w:t>
      </w:r>
    </w:p>
    <w:p w14:paraId="7D4AAD60" w14:textId="77777777" w:rsidR="00B46231" w:rsidRPr="00B46231" w:rsidRDefault="00B46231">
      <w:pPr>
        <w:rPr>
          <w:i/>
          <w:sz w:val="18"/>
          <w:szCs w:val="18"/>
        </w:rPr>
      </w:pPr>
      <w:r>
        <w:tab/>
      </w:r>
      <w:r>
        <w:tab/>
      </w:r>
      <w:r w:rsidRPr="00B46231">
        <w:rPr>
          <w:i/>
          <w:sz w:val="18"/>
          <w:szCs w:val="18"/>
        </w:rPr>
        <w:t>Certified Silviculturist</w:t>
      </w:r>
    </w:p>
    <w:p w14:paraId="34EA2DFE" w14:textId="77777777" w:rsidR="00B46231" w:rsidRDefault="00B46231">
      <w:r w:rsidRPr="00D23BF4">
        <w:rPr>
          <w:b/>
        </w:rPr>
        <w:t>Current Condition:</w:t>
      </w:r>
      <w:r>
        <w:t xml:space="preserve">  All stands are between 37 and 40 years old.  All stands are red pine plantations with varying amounts of hardwoods.  The terrain is relatively flat.  Due to hand-brushing endeavors in recent years, the understory hazel is minimal.</w:t>
      </w:r>
    </w:p>
    <w:p w14:paraId="16F33554" w14:textId="77777777" w:rsidR="00B46231" w:rsidRDefault="00B46231">
      <w:r w:rsidRPr="00D23BF4">
        <w:rPr>
          <w:b/>
        </w:rPr>
        <w:t>Tending History:</w:t>
      </w:r>
      <w:r>
        <w:t xml:space="preserve">  These stands were entry-level thinned in 2016 to retain live crown ratio, removing approximately 1/3 of the basal area.  Brushing of overabundant hazel was done in 2017 and again in 2020.  This work was done as a Tribal Forest Protection Act project.</w:t>
      </w:r>
    </w:p>
    <w:p w14:paraId="0B519902" w14:textId="77777777" w:rsidR="00B46231" w:rsidRDefault="00B46231">
      <w:r w:rsidRPr="00D23BF4">
        <w:rPr>
          <w:b/>
        </w:rPr>
        <w:t>Directions:</w:t>
      </w:r>
      <w:r>
        <w:t xml:space="preserve">  To get to the stands from Cass Lake, travel east on U.</w:t>
      </w:r>
      <w:r w:rsidR="00D23BF4">
        <w:t>S. Highway 2 for approximately 5 miles to Cass County Road 10 (Scenic Highway).  Turn left and travel north for 1 mile to USFS Road 2352; project stands are located 0.8 and 2.1 miles east on USFS Road 2352.</w:t>
      </w:r>
    </w:p>
    <w:p w14:paraId="54678BC3" w14:textId="77777777" w:rsidR="002B0F4B" w:rsidRDefault="002B0F4B"/>
    <w:p w14:paraId="23698DDC" w14:textId="77777777" w:rsidR="00D23BF4" w:rsidRPr="002B0F4B" w:rsidRDefault="00D23BF4" w:rsidP="002B0F4B">
      <w:pPr>
        <w:jc w:val="center"/>
        <w:rPr>
          <w:sz w:val="36"/>
          <w:szCs w:val="36"/>
        </w:rPr>
      </w:pPr>
      <w:r w:rsidRPr="002B0F4B">
        <w:rPr>
          <w:sz w:val="36"/>
          <w:szCs w:val="36"/>
        </w:rPr>
        <w:t>DESIRED STAND CONDITION</w:t>
      </w:r>
    </w:p>
    <w:p w14:paraId="2373F87B" w14:textId="77777777" w:rsidR="00D23BF4" w:rsidRDefault="00D23BF4">
      <w:r w:rsidRPr="002B0F4B">
        <w:rPr>
          <w:b/>
        </w:rPr>
        <w:t>Short Term:</w:t>
      </w:r>
      <w:r>
        <w:t xml:space="preserve">  Continued aggressive thinning to improve growing conditions for remaining trees.  Focus thinning around </w:t>
      </w:r>
      <w:r w:rsidR="00A44E83">
        <w:t>non-red pine</w:t>
      </w:r>
      <w:r>
        <w:t xml:space="preserve"> species </w:t>
      </w:r>
      <w:r w:rsidR="00A44E83">
        <w:t xml:space="preserve">(notable hardwoods) </w:t>
      </w:r>
      <w:r>
        <w:t xml:space="preserve">growing within stand to </w:t>
      </w:r>
      <w:r w:rsidR="00A44E83">
        <w:t xml:space="preserve">free up growing space for individual trees and </w:t>
      </w:r>
      <w:r>
        <w:t>favor</w:t>
      </w:r>
      <w:r w:rsidR="00A44E83">
        <w:t>ing</w:t>
      </w:r>
      <w:r>
        <w:t xml:space="preserve"> diversity and climate change resistance</w:t>
      </w:r>
      <w:r w:rsidR="002B0F4B">
        <w:t>.  Free up growing space for increased understory reinitiation.</w:t>
      </w:r>
    </w:p>
    <w:p w14:paraId="33104C11" w14:textId="59B5F862" w:rsidR="002B0F4B" w:rsidRDefault="002B0F4B">
      <w:r w:rsidRPr="002B0F4B">
        <w:rPr>
          <w:b/>
        </w:rPr>
        <w:t>Long Term:</w:t>
      </w:r>
      <w:r>
        <w:t xml:space="preserve">  Restore fire as an ecological component.  Continue management to restore stand composition more indicative of Dry Pine stand</w:t>
      </w:r>
      <w:r w:rsidR="00D13CA4">
        <w:t>s</w:t>
      </w:r>
      <w:r>
        <w:t xml:space="preserve">: diversity of species, diameter, vertical structure and </w:t>
      </w:r>
      <w:r>
        <w:lastRenderedPageBreak/>
        <w:t xml:space="preserve">spacing.  Fire should occur following next thinning, with a third thinning focusing on variable density (gap creation) to occur in </w:t>
      </w:r>
      <w:r w:rsidR="00D13CA4">
        <w:t xml:space="preserve">about </w:t>
      </w:r>
      <w:r>
        <w:t>5</w:t>
      </w:r>
      <w:r w:rsidR="00D13CA4">
        <w:t>-10</w:t>
      </w:r>
      <w:r>
        <w:t xml:space="preserve"> years.</w:t>
      </w:r>
    </w:p>
    <w:p w14:paraId="134309A9" w14:textId="77777777" w:rsidR="002B0F4B" w:rsidRPr="00D17268" w:rsidRDefault="00D17268" w:rsidP="00D17268">
      <w:pPr>
        <w:jc w:val="center"/>
        <w:rPr>
          <w:sz w:val="36"/>
          <w:szCs w:val="36"/>
        </w:rPr>
      </w:pPr>
      <w:r w:rsidRPr="00D17268">
        <w:rPr>
          <w:sz w:val="36"/>
          <w:szCs w:val="36"/>
        </w:rPr>
        <w:t>HARVEST AND MARKING GUIDES</w:t>
      </w:r>
    </w:p>
    <w:p w14:paraId="0DD657F0" w14:textId="77777777" w:rsidR="00D17268" w:rsidRDefault="00BA0A93">
      <w:r w:rsidRPr="00BA0A93">
        <w:rPr>
          <w:b/>
        </w:rPr>
        <w:t>Harvest Method:</w:t>
      </w:r>
      <w:r>
        <w:t xml:space="preserve">  Commercial Thinning</w:t>
      </w:r>
    </w:p>
    <w:p w14:paraId="72F846DC" w14:textId="54DD77FC" w:rsidR="00BA0A93" w:rsidRDefault="00BA0A93">
      <w:r>
        <w:t>Commercial thinning is an intermediate silvicultural treatment where individual trees would be removed throughout the stand to provide improved growing conditions for the remaining trees.  For thinning on this project, a heavier emphasis would be place</w:t>
      </w:r>
      <w:r w:rsidR="00D13CA4">
        <w:t>d</w:t>
      </w:r>
      <w:r>
        <w:t xml:space="preserve"> on improving growing conditions for </w:t>
      </w:r>
      <w:r w:rsidR="00D13CA4">
        <w:t>non-red pine</w:t>
      </w:r>
      <w:r>
        <w:t xml:space="preserve"> species growing within the stand.  Future thinning on this project would focus on variable density and gap creation.</w:t>
      </w:r>
    </w:p>
    <w:p w14:paraId="39C35A5C" w14:textId="77777777" w:rsidR="00D23BF4" w:rsidRPr="00195340" w:rsidRDefault="00BA0A93">
      <w:r w:rsidRPr="00206EA9">
        <w:rPr>
          <w:b/>
        </w:rPr>
        <w:t>Marking Guides:</w:t>
      </w:r>
      <w:r>
        <w:t xml:space="preserve">  Cut primarily red pine.  Access corridors were already established over the majority of this stand, but they are still required along travel ways.  For access corridors along</w:t>
      </w:r>
      <w:r w:rsidR="00485E05">
        <w:t xml:space="preserve"> travel ways, create 14-20 foot-</w:t>
      </w:r>
      <w:r>
        <w:t>wide corridors every 25 or 50 feet</w:t>
      </w:r>
      <w:r w:rsidR="00485E05">
        <w:t>.  To preserve diversity, do not create corridors in any hardwood areas; shift corridors to go around hardwoods.  As much as possible, follow the irregular</w:t>
      </w:r>
      <w:r w:rsidR="00D12AE8">
        <w:t xml:space="preserve"> shape of the </w:t>
      </w:r>
      <w:r w:rsidR="00D12AE8" w:rsidRPr="00195340">
        <w:t>boundary to improve visuals.  Avoid long straight corridors, especially if they are visible from travel ways.  Note: smaller diameter red pine should still be removed from along travel ways to allow for natural visuals into the stand.</w:t>
      </w:r>
    </w:p>
    <w:p w14:paraId="63A1A23D" w14:textId="5398369E" w:rsidR="00195340" w:rsidRPr="00195340" w:rsidRDefault="00D12AE8" w:rsidP="00195340">
      <w:r w:rsidRPr="00195340">
        <w:t xml:space="preserve">This </w:t>
      </w:r>
      <w:r w:rsidR="00D13CA4" w:rsidRPr="00195340">
        <w:t>would</w:t>
      </w:r>
      <w:r w:rsidRPr="00195340">
        <w:t xml:space="preserve"> be the second thinning of these stands, with the first thinning done in 2016.  Remove approximately 1/3 of the basal area of red pine.  Generally, thin from below, removing the smaller diameter red pine, trees with poor form and trees with a low crown ratio.  </w:t>
      </w:r>
      <w:r w:rsidR="00195340" w:rsidRPr="00195340">
        <w:t>Do not cut hardwoods or other non-red pine species. Remove red pine trees adjacent to these species to release them.</w:t>
      </w:r>
    </w:p>
    <w:p w14:paraId="235C2AE8" w14:textId="2753F2ED" w:rsidR="00D12AE8" w:rsidRPr="00195340" w:rsidRDefault="00D12AE8">
      <w:r w:rsidRPr="00195340">
        <w:t>Retain all other species other than red pine for diversity.  Leave all snags, trees with cavities and trees with broken tops; do not count these trees as part of the 2/3 basal area of red pine to be left.  Residual red pine should be trees with good form and vigor, crown ratio</w:t>
      </w:r>
      <w:r w:rsidR="00D13CA4" w:rsidRPr="00195340">
        <w:t>s</w:t>
      </w:r>
      <w:r w:rsidRPr="00195340">
        <w:t xml:space="preserve"> &gt;30%, balanced crowns, single top and free from insect/disease.</w:t>
      </w:r>
    </w:p>
    <w:p w14:paraId="21E6DE2D" w14:textId="77777777" w:rsidR="00A44E83" w:rsidRDefault="00A44E83">
      <w:r w:rsidRPr="00195340">
        <w:t>All harvesting is to be done in a progressive</w:t>
      </w:r>
      <w:r>
        <w:t xml:space="preserve"> fashion; cutting must begin at the far edges of the sale and progress towards the landings.</w:t>
      </w:r>
    </w:p>
    <w:p w14:paraId="30E61A4C" w14:textId="77777777" w:rsidR="00D12AE8" w:rsidRDefault="00D12AE8">
      <w:r w:rsidRPr="00206EA9">
        <w:rPr>
          <w:b/>
        </w:rPr>
        <w:t>Layout Guides:</w:t>
      </w:r>
      <w:r>
        <w:t xml:space="preserve">  While removing smaller diameter red pine from near travel ways, ensure excessive paint is not facing the road.</w:t>
      </w:r>
    </w:p>
    <w:p w14:paraId="2B35A3D8" w14:textId="77777777" w:rsidR="00DA7A65" w:rsidRDefault="00D12AE8">
      <w:r w:rsidRPr="00206EA9">
        <w:rPr>
          <w:b/>
        </w:rPr>
        <w:t>Sale Administration:</w:t>
      </w:r>
      <w:r>
        <w:t xml:space="preserve">  </w:t>
      </w:r>
    </w:p>
    <w:p w14:paraId="3F790FAE" w14:textId="77777777" w:rsidR="00BC4B16" w:rsidRPr="00BC4B16" w:rsidRDefault="00BC4B16" w:rsidP="00BC4B16">
      <w:pPr>
        <w:pStyle w:val="BodyText"/>
        <w:numPr>
          <w:ilvl w:val="0"/>
          <w:numId w:val="5"/>
        </w:numPr>
        <w:spacing w:before="156" w:line="259" w:lineRule="auto"/>
        <w:rPr>
          <w:rFonts w:asciiTheme="minorHAnsi" w:hAnsiTheme="minorHAnsi" w:cstheme="minorHAnsi"/>
          <w:spacing w:val="1"/>
          <w:sz w:val="22"/>
          <w:szCs w:val="22"/>
        </w:rPr>
      </w:pPr>
      <w:r w:rsidRPr="00BC4B16">
        <w:rPr>
          <w:rFonts w:asciiTheme="minorHAnsi" w:hAnsiTheme="minorHAnsi" w:cstheme="minorHAnsi"/>
          <w:sz w:val="22"/>
          <w:szCs w:val="22"/>
        </w:rPr>
        <w:t>Lop and scatter 30% of the slash throughout all stands, keeping slash about 15 feet from residual trees. 70% of the slash would be piled at landings (1 pile per stand</w:t>
      </w:r>
      <w:bookmarkStart w:id="1" w:name="_Hlk92882416"/>
      <w:r w:rsidRPr="00BC4B16">
        <w:rPr>
          <w:rFonts w:asciiTheme="minorHAnsi" w:eastAsia="Times New Roman" w:hAnsiTheme="minorHAnsi" w:cstheme="minorHAnsi"/>
          <w:sz w:val="22"/>
          <w:szCs w:val="22"/>
        </w:rPr>
        <w:t>)</w:t>
      </w:r>
      <w:r w:rsidRPr="00BC4B16">
        <w:rPr>
          <w:rFonts w:asciiTheme="minorHAnsi" w:hAnsiTheme="minorHAnsi" w:cstheme="minorHAnsi"/>
          <w:spacing w:val="1"/>
          <w:sz w:val="22"/>
          <w:szCs w:val="22"/>
        </w:rPr>
        <w:t>.</w:t>
      </w:r>
      <w:bookmarkEnd w:id="1"/>
    </w:p>
    <w:p w14:paraId="068BA70F" w14:textId="43DB6125" w:rsidR="00D12AE8" w:rsidRDefault="00D12AE8" w:rsidP="00DA7A65">
      <w:pPr>
        <w:pStyle w:val="ListParagraph"/>
        <w:numPr>
          <w:ilvl w:val="0"/>
          <w:numId w:val="5"/>
        </w:numPr>
      </w:pPr>
      <w:r w:rsidRPr="00BC4B16">
        <w:rPr>
          <w:rFonts w:cstheme="minorHAnsi"/>
        </w:rPr>
        <w:t>Log landing, decked</w:t>
      </w:r>
      <w:r w:rsidRPr="00BC4B16">
        <w:t xml:space="preserve"> </w:t>
      </w:r>
      <w:r>
        <w:t>material and equipment should utilize the existing landings from the thinning done in 2016.</w:t>
      </w:r>
    </w:p>
    <w:p w14:paraId="3694AEEF" w14:textId="0A28F325" w:rsidR="00D12AE8" w:rsidRDefault="00D12AE8">
      <w:r w:rsidRPr="00206EA9">
        <w:rPr>
          <w:b/>
        </w:rPr>
        <w:t>Season of Operation:</w:t>
      </w:r>
      <w:r>
        <w:t xml:space="preserve">  To ensure </w:t>
      </w:r>
      <w:r w:rsidR="00206EA9">
        <w:t>the stands are ready for a</w:t>
      </w:r>
      <w:r w:rsidR="00263EED">
        <w:t xml:space="preserve"> prescribed (Rx)</w:t>
      </w:r>
      <w:r w:rsidR="00206EA9">
        <w:t xml:space="preserve"> burn, the thinning must be done in spring or early summer; this will allow for scattered slash to properly dry and a</w:t>
      </w:r>
      <w:r w:rsidR="00263EED">
        <w:t xml:space="preserve">n Rx </w:t>
      </w:r>
      <w:r w:rsidR="00206EA9">
        <w:t>burn to be performed in early fall.  Harvest activities must be done when conditions are dry.</w:t>
      </w:r>
    </w:p>
    <w:p w14:paraId="0107E16B" w14:textId="77777777" w:rsidR="00206EA9" w:rsidRDefault="00206EA9">
      <w:r w:rsidRPr="00206EA9">
        <w:rPr>
          <w:b/>
        </w:rPr>
        <w:lastRenderedPageBreak/>
        <w:t>Heritage:</w:t>
      </w:r>
      <w:r>
        <w:t xml:space="preserve">  Stands 2057/30 and 2057/31 have known heritage sites.  Check with heritage staff to ensure survey is up-to-date.  All currently known and newly discovered sites will be protected.  Proposed activities will not be implemented until necessary surveys have been completed and the Chippewa National Forest has received concurrence from the Leech Lake Band of Ojibwe Tribal Historic Preservation Office to proceed.</w:t>
      </w:r>
    </w:p>
    <w:p w14:paraId="265F6A23" w14:textId="77777777" w:rsidR="00D23BF4" w:rsidRDefault="00D76A82">
      <w:r w:rsidRPr="00D76A82">
        <w:rPr>
          <w:b/>
        </w:rPr>
        <w:t>Mitigations:</w:t>
      </w:r>
      <w:r>
        <w:t xml:space="preserve"> G-S-3, G-SC-4, LL-DVC-2, LL-DVC-5, LL-DVC-7</w:t>
      </w:r>
    </w:p>
    <w:p w14:paraId="35779742" w14:textId="77777777" w:rsidR="00D23BF4" w:rsidRDefault="00D76A82">
      <w:r w:rsidRPr="00E80D69">
        <w:rPr>
          <w:b/>
        </w:rPr>
        <w:t>G-S-3</w:t>
      </w:r>
      <w:r>
        <w:tab/>
        <w:t>Restrict activity to normal dry period (typically July 1</w:t>
      </w:r>
      <w:r w:rsidRPr="00D76A82">
        <w:rPr>
          <w:vertAlign w:val="superscript"/>
        </w:rPr>
        <w:t>st</w:t>
      </w:r>
      <w:r>
        <w:t xml:space="preserve"> to Sept. 15</w:t>
      </w:r>
      <w:r w:rsidRPr="00D76A82">
        <w:rPr>
          <w:vertAlign w:val="superscript"/>
        </w:rPr>
        <w:t>th</w:t>
      </w:r>
      <w:r>
        <w:t xml:space="preserve"> ) or when soil is frozen at a depth of 4 inches or more.  G-WS-8 (Limitations Table (2-16)).</w:t>
      </w:r>
    </w:p>
    <w:p w14:paraId="47F29C73" w14:textId="77777777" w:rsidR="00D76A82" w:rsidRDefault="00D76A82">
      <w:r w:rsidRPr="00E80D69">
        <w:rPr>
          <w:b/>
        </w:rPr>
        <w:t>G-SC-4</w:t>
      </w:r>
      <w:r>
        <w:tab/>
        <w:t>Scenic Quality – Evidence of temporary activities (such as staking, paint, flagging, equipment maintenance and staging areas) should be minimized or cleaned up immediately following project.</w:t>
      </w:r>
    </w:p>
    <w:p w14:paraId="4168C54A" w14:textId="77777777" w:rsidR="00D76A82" w:rsidRDefault="00D76A82">
      <w:r w:rsidRPr="00E80D69">
        <w:rPr>
          <w:b/>
        </w:rPr>
        <w:t>LL-DVC-2</w:t>
      </w:r>
      <w:r>
        <w:tab/>
        <w:t>Protection of Scenic Corridors</w:t>
      </w:r>
    </w:p>
    <w:p w14:paraId="6B6575BB" w14:textId="77777777" w:rsidR="00D76A82" w:rsidRPr="008405F7" w:rsidRDefault="00D76A82" w:rsidP="00D76A82">
      <w:pPr>
        <w:rPr>
          <w:b/>
          <w:u w:val="single"/>
        </w:rPr>
      </w:pPr>
      <w:r>
        <w:tab/>
        <w:t xml:space="preserve">Forest Plan guidance for scenic integrity objectives include: D-SC-1, D-SC-2, D-SC-3, O-SC-1, S-SC-1, G-SC-1, G-SC-2, G-SC-3, G-SC-4, G-SC-5, G-SC-6, G-SC-7, G-SC-8, G-SC-9, and G-SC-10. </w:t>
      </w:r>
    </w:p>
    <w:p w14:paraId="2E627C93" w14:textId="77777777" w:rsidR="00D76A82" w:rsidRDefault="00D76A82">
      <w:r w:rsidRPr="00E80D69">
        <w:rPr>
          <w:b/>
        </w:rPr>
        <w:t>LL-DVC-5</w:t>
      </w:r>
      <w:r>
        <w:tab/>
        <w:t>Protecting the Cultural Integrity of the Leech Lake Band of Ojibwe</w:t>
      </w:r>
    </w:p>
    <w:p w14:paraId="1351CDC6" w14:textId="77777777" w:rsidR="00D76A82" w:rsidRDefault="00E80D69">
      <w:r>
        <w:tab/>
        <w:t>The Forest Service recognizes that t</w:t>
      </w:r>
      <w:r w:rsidRPr="00FA6A6B">
        <w:t>h</w:t>
      </w:r>
      <w:r>
        <w:t>is DVC is aligned with the Forest</w:t>
      </w:r>
      <w:r w:rsidRPr="00FA6A6B">
        <w:t xml:space="preserve"> </w:t>
      </w:r>
      <w:r>
        <w:t>P</w:t>
      </w:r>
      <w:r w:rsidRPr="00FA6A6B">
        <w:t>lan</w:t>
      </w:r>
      <w:r>
        <w:t>, which</w:t>
      </w:r>
      <w:r w:rsidRPr="00FA6A6B">
        <w:t xml:space="preserve"> </w:t>
      </w:r>
      <w:r>
        <w:t>contains specific direction in regard to meeting Tribal trust obligations, facilitating the exercise of treaty rights, and incorporating Tribal cultural resources, values, needs, interests, and expectations in forest management activities (Forest Plan D-TR-1, D-TR-3, O-TR-1, O-TR-3, O-TR-4, O-TR-5, S-TR-1, S-TR-3, S-TR-4, S-TR-5, S-TR-7, G-TR-2, and G-TR-3.</w:t>
      </w:r>
    </w:p>
    <w:p w14:paraId="444FEB83" w14:textId="77777777" w:rsidR="00E80D69" w:rsidRDefault="00E80D69">
      <w:r w:rsidRPr="00E80D69">
        <w:rPr>
          <w:b/>
        </w:rPr>
        <w:t>LL-DVC-7</w:t>
      </w:r>
      <w:r>
        <w:tab/>
        <w:t>Restore Conifers to Ecological Functioning Systems</w:t>
      </w:r>
    </w:p>
    <w:p w14:paraId="490ADE7A" w14:textId="77777777" w:rsidR="00E80D69" w:rsidRDefault="00E80D69" w:rsidP="00E80D69">
      <w:r>
        <w:tab/>
        <w:t xml:space="preserve">Management to benefit and increase conifers is consistent with forest-wide Forest </w:t>
      </w:r>
      <w:r w:rsidRPr="00144BD0">
        <w:t>Plan</w:t>
      </w:r>
      <w:r w:rsidRPr="0015075F">
        <w:t xml:space="preserve"> </w:t>
      </w:r>
      <w:r>
        <w:t xml:space="preserve">goals and objectives, specifically the desired conditions for vegetation management items (see Forest Plan D-VG-1, D-VG-2, D-VG-3, D-VG-6, O-VG-2, O-VG-7, O-VG-17). In addition, several Landscape Ecosystems have objectives to increase conifer forest types. </w:t>
      </w:r>
    </w:p>
    <w:p w14:paraId="4105B8A6" w14:textId="77777777" w:rsidR="00E80D69" w:rsidRPr="00E80D69" w:rsidRDefault="00E80D69" w:rsidP="00E80D69">
      <w:pPr>
        <w:jc w:val="center"/>
        <w:rPr>
          <w:sz w:val="36"/>
          <w:szCs w:val="36"/>
        </w:rPr>
      </w:pPr>
      <w:r w:rsidRPr="00E80D69">
        <w:rPr>
          <w:sz w:val="36"/>
          <w:szCs w:val="36"/>
        </w:rPr>
        <w:t>POST-HARVEST TREATMENTS</w:t>
      </w:r>
    </w:p>
    <w:p w14:paraId="13899957" w14:textId="77777777" w:rsidR="00E80D69" w:rsidRDefault="00E80D69">
      <w:r w:rsidRPr="00C73E4A">
        <w:rPr>
          <w:b/>
        </w:rPr>
        <w:t>Stand Establishment:</w:t>
      </w:r>
      <w:r>
        <w:t xml:space="preserve">  NA</w:t>
      </w:r>
    </w:p>
    <w:p w14:paraId="20CC5AB3" w14:textId="6955A15F" w:rsidR="00E80D69" w:rsidRDefault="00E80D69">
      <w:r w:rsidRPr="00C73E4A">
        <w:rPr>
          <w:b/>
        </w:rPr>
        <w:t>Site Preparation:</w:t>
      </w:r>
      <w:r>
        <w:t xml:space="preserve">  Any further necessary site preparations following harvest will be done to mitigate for planned Rx</w:t>
      </w:r>
      <w:r w:rsidR="00263EED">
        <w:t xml:space="preserve"> burn</w:t>
      </w:r>
      <w:r>
        <w:t xml:space="preserve">.  This could include removing any ladder fuels and installing a fire ring around the project stands.  This would </w:t>
      </w:r>
      <w:r w:rsidR="00D13CA4">
        <w:t xml:space="preserve">tentatively </w:t>
      </w:r>
      <w:r>
        <w:t>occur in Summer 2022.</w:t>
      </w:r>
    </w:p>
    <w:p w14:paraId="5AC0526D" w14:textId="4A467D8F" w:rsidR="00E80D69" w:rsidRDefault="00E80D69">
      <w:r>
        <w:t xml:space="preserve">An additional thinning and burn </w:t>
      </w:r>
      <w:r w:rsidR="00D13CA4">
        <w:t>would</w:t>
      </w:r>
      <w:r>
        <w:t xml:space="preserve"> be planned</w:t>
      </w:r>
      <w:r w:rsidR="00D13CA4">
        <w:t xml:space="preserve"> in about 5-10 years when conditions warrant, potentially in </w:t>
      </w:r>
      <w:r>
        <w:t>2027, focusing on variable density thinning and gap creation to promote fruiting shrubs that are currently largely lacking from these stands</w:t>
      </w:r>
      <w:r w:rsidR="00D13CA4">
        <w:t xml:space="preserve"> (</w:t>
      </w:r>
      <w:r w:rsidR="00882F51">
        <w:t>notably juneberry, choke cherry and lowbush or velvetleaf blueberry</w:t>
      </w:r>
      <w:r w:rsidR="00D13CA4">
        <w:t>)</w:t>
      </w:r>
      <w:r w:rsidR="00882F51">
        <w:t>.</w:t>
      </w:r>
    </w:p>
    <w:p w14:paraId="1F2711CA" w14:textId="77777777" w:rsidR="00E80D69" w:rsidRDefault="00E80D69">
      <w:r w:rsidRPr="00C73E4A">
        <w:rPr>
          <w:b/>
        </w:rPr>
        <w:t xml:space="preserve">Reforestation: </w:t>
      </w:r>
      <w:r>
        <w:t xml:space="preserve"> NA</w:t>
      </w:r>
    </w:p>
    <w:p w14:paraId="38E24554" w14:textId="77777777" w:rsidR="00E80D69" w:rsidRDefault="00E80D69">
      <w:r w:rsidRPr="00C73E4A">
        <w:rPr>
          <w:b/>
        </w:rPr>
        <w:lastRenderedPageBreak/>
        <w:t>Cultural Operations:</w:t>
      </w:r>
      <w:r w:rsidR="00882F51">
        <w:t xml:space="preserve">  </w:t>
      </w:r>
      <w:r w:rsidR="00885DE2">
        <w:t>Broadcast burn for f</w:t>
      </w:r>
      <w:r w:rsidR="00882F51">
        <w:t>ruiting shrub restoration.  Following thinning and rx burn in 2027, fruiting shrubs suitable to the site should be planted in gap openings</w:t>
      </w:r>
      <w:r w:rsidR="00885DE2">
        <w:t xml:space="preserve"> while avoiding areas of expanded blueberry production</w:t>
      </w:r>
      <w:r w:rsidR="00882F51">
        <w:t>.</w:t>
      </w:r>
    </w:p>
    <w:p w14:paraId="6AD6D40D" w14:textId="319FBD04" w:rsidR="00D13CA4" w:rsidRDefault="00882F51">
      <w:r w:rsidRPr="00C73E4A">
        <w:rPr>
          <w:b/>
        </w:rPr>
        <w:t>Fire Use:</w:t>
      </w:r>
      <w:r>
        <w:t xml:space="preserve">  Restoration of fire ecology in fire dependent stands.  Fire will be introduced to reduce fuel loading and to enhance berry shrub production.  </w:t>
      </w:r>
      <w:r w:rsidR="00885DE2">
        <w:tab/>
      </w:r>
    </w:p>
    <w:p w14:paraId="6C016CAF" w14:textId="4E91D894" w:rsidR="00885DE2" w:rsidRPr="00885DE2" w:rsidRDefault="00885DE2" w:rsidP="00D13CA4">
      <w:pPr>
        <w:ind w:firstLine="720"/>
        <w:rPr>
          <w:b/>
        </w:rPr>
      </w:pPr>
      <w:r w:rsidRPr="00885DE2">
        <w:rPr>
          <w:b/>
        </w:rPr>
        <w:t>Rx Burn Management Objectives:</w:t>
      </w:r>
    </w:p>
    <w:p w14:paraId="0DB36E10" w14:textId="6D2FB067" w:rsidR="00885DE2" w:rsidRDefault="00885DE2" w:rsidP="00C73E4A">
      <w:pPr>
        <w:pStyle w:val="ListParagraph"/>
        <w:numPr>
          <w:ilvl w:val="0"/>
          <w:numId w:val="1"/>
        </w:numPr>
      </w:pPr>
      <w:r>
        <w:t>Reduce fuel loadings over 70-80% of the area by consuming 70-100% of the 1-hour and 60-100% of the 10-hour fuels</w:t>
      </w:r>
      <w:r w:rsidR="00684866">
        <w:t>, assuming fuel is dry at time of burn</w:t>
      </w:r>
      <w:r>
        <w:t>.</w:t>
      </w:r>
    </w:p>
    <w:p w14:paraId="37921249" w14:textId="77777777" w:rsidR="00885DE2" w:rsidRDefault="00885DE2" w:rsidP="00C73E4A">
      <w:pPr>
        <w:pStyle w:val="ListParagraph"/>
        <w:numPr>
          <w:ilvl w:val="0"/>
          <w:numId w:val="1"/>
        </w:numPr>
      </w:pPr>
      <w:r>
        <w:t>Continued reduction of hazel brush density within the stands of &gt;50% 2-years post-burn.</w:t>
      </w:r>
    </w:p>
    <w:p w14:paraId="6202BB9A" w14:textId="7B19C220" w:rsidR="00885DE2" w:rsidRDefault="00EC5F51" w:rsidP="00C73E4A">
      <w:pPr>
        <w:pStyle w:val="ListParagraph"/>
        <w:numPr>
          <w:ilvl w:val="0"/>
          <w:numId w:val="1"/>
        </w:numPr>
      </w:pPr>
      <w:bookmarkStart w:id="2" w:name="_Hlk92882221"/>
      <w:r>
        <w:t xml:space="preserve">Acceptable mortality will vary.  Across the entirety of </w:t>
      </w:r>
      <w:r w:rsidR="00E56AD1">
        <w:t>each</w:t>
      </w:r>
      <w:r>
        <w:t xml:space="preserve"> stand, </w:t>
      </w:r>
      <w:bookmarkStart w:id="3" w:name="_Hlk92883007"/>
      <w:r w:rsidR="00057232">
        <w:t xml:space="preserve">up to </w:t>
      </w:r>
      <w:r>
        <w:t>20% mortality (as a</w:t>
      </w:r>
      <w:r w:rsidR="00715BA7">
        <w:t xml:space="preserve"> stand </w:t>
      </w:r>
      <w:r>
        <w:t>average) may occur, with localized spots of higher and lower morta</w:t>
      </w:r>
      <w:bookmarkEnd w:id="3"/>
      <w:r>
        <w:t>lity</w:t>
      </w:r>
      <w:r w:rsidR="00715BA7">
        <w:t>, 2 years post burn</w:t>
      </w:r>
      <w:r>
        <w:t>.</w:t>
      </w:r>
      <w:r w:rsidR="00885DE2">
        <w:t xml:space="preserve"> </w:t>
      </w:r>
    </w:p>
    <w:bookmarkEnd w:id="2"/>
    <w:p w14:paraId="1DE3E03C" w14:textId="77777777" w:rsidR="00885DE2" w:rsidRDefault="00885DE2" w:rsidP="00C73E4A">
      <w:pPr>
        <w:pStyle w:val="ListParagraph"/>
        <w:numPr>
          <w:ilvl w:val="0"/>
          <w:numId w:val="1"/>
        </w:numPr>
      </w:pPr>
      <w:r>
        <w:t>Restore fire to historically fire-dependent ecosystem to enhance berry shrub production.</w:t>
      </w:r>
    </w:p>
    <w:p w14:paraId="4A1E16BE" w14:textId="77777777" w:rsidR="00D23BF4" w:rsidRPr="00885DE2" w:rsidRDefault="00885DE2" w:rsidP="00885DE2">
      <w:pPr>
        <w:jc w:val="center"/>
        <w:rPr>
          <w:sz w:val="36"/>
          <w:szCs w:val="36"/>
        </w:rPr>
      </w:pPr>
      <w:r w:rsidRPr="00885DE2">
        <w:rPr>
          <w:sz w:val="36"/>
          <w:szCs w:val="36"/>
        </w:rPr>
        <w:t>ACTIVITY SCHEDULE</w:t>
      </w:r>
    </w:p>
    <w:p w14:paraId="7F5B52A8" w14:textId="77777777" w:rsidR="00126BC4" w:rsidRDefault="00126BC4" w:rsidP="00126BC4">
      <w:r>
        <w:t xml:space="preserve">This 638 Pilot Project represents “Phase 2” of a larger project to restore Native Plant Community in Fire Dependent Pine.  “Phase 1” was completed in 2016-2020 with a pine thinning to retain live crown (2016) and two brushing projects to decrease the hazel component within the project area (2017 and 2020).  Residual trees have responded favorably to the thinning, exhibiting growth.  </w:t>
      </w:r>
    </w:p>
    <w:p w14:paraId="6D7EFCDA" w14:textId="47A57ACA" w:rsidR="00126BC4" w:rsidRDefault="00126BC4" w:rsidP="00126BC4">
      <w:r>
        <w:t xml:space="preserve">“Phase 2” </w:t>
      </w:r>
      <w:r w:rsidR="0059644F">
        <w:t>would</w:t>
      </w:r>
      <w:r>
        <w:t xml:space="preserve"> consist of a second thinning that </w:t>
      </w:r>
      <w:r w:rsidR="0059644F">
        <w:t xml:space="preserve">would </w:t>
      </w:r>
      <w:r>
        <w:t>occur in spring/summer of 2022 to allow for adequate broadcast fuels for an Rx burn to take place in fall 2022</w:t>
      </w:r>
      <w:r w:rsidR="0059644F">
        <w:t xml:space="preserve">, </w:t>
      </w:r>
      <w:bookmarkStart w:id="4" w:name="_Hlk92883314"/>
      <w:r w:rsidR="0059644F">
        <w:t>if NEPA is complete and site conditions are conducive to burning</w:t>
      </w:r>
      <w:bookmarkEnd w:id="4"/>
      <w:r>
        <w:t>.  This thinning will thin from below and remove from other species within the project to promote diversity.</w:t>
      </w:r>
    </w:p>
    <w:p w14:paraId="3BB720EB" w14:textId="77777777" w:rsidR="00126BC4" w:rsidRPr="008D7E32" w:rsidRDefault="00126BC4" w:rsidP="00126BC4">
      <w:pPr>
        <w:rPr>
          <w:u w:val="single"/>
        </w:rPr>
      </w:pPr>
      <w:r>
        <w:rPr>
          <w:u w:val="single"/>
        </w:rPr>
        <w:t>Spring/</w:t>
      </w:r>
      <w:r w:rsidRPr="008D7E32">
        <w:rPr>
          <w:u w:val="single"/>
        </w:rPr>
        <w:t>Summer ’2</w:t>
      </w:r>
      <w:r>
        <w:rPr>
          <w:u w:val="single"/>
        </w:rPr>
        <w:t>2</w:t>
      </w:r>
      <w:r w:rsidRPr="008D7E32">
        <w:rPr>
          <w:u w:val="single"/>
        </w:rPr>
        <w:t xml:space="preserve"> </w:t>
      </w:r>
    </w:p>
    <w:p w14:paraId="7B76BC99" w14:textId="77777777" w:rsidR="00126BC4" w:rsidRDefault="00126BC4" w:rsidP="00126BC4">
      <w:pPr>
        <w:pStyle w:val="ListParagraph"/>
        <w:numPr>
          <w:ilvl w:val="0"/>
          <w:numId w:val="2"/>
        </w:numPr>
      </w:pPr>
      <w:r>
        <w:t xml:space="preserve">Commercial Thin.  Lop and scatter slash across site. </w:t>
      </w:r>
    </w:p>
    <w:p w14:paraId="152E22A2" w14:textId="47333B8A" w:rsidR="00126BC4" w:rsidRDefault="00126BC4" w:rsidP="00126BC4">
      <w:r>
        <w:t xml:space="preserve">Following the second thinning, residual pine in the stand </w:t>
      </w:r>
      <w:r w:rsidR="00263EED">
        <w:t>would</w:t>
      </w:r>
      <w:r>
        <w:t xml:space="preserve"> average 10-12” DBH and the stands </w:t>
      </w:r>
      <w:r w:rsidR="00263EED">
        <w:t>would</w:t>
      </w:r>
      <w:r>
        <w:t xml:space="preserve"> have adequate space for heat release to allow for a prescribed burn.  This Rx </w:t>
      </w:r>
      <w:r w:rsidR="00263EED">
        <w:t xml:space="preserve">burn </w:t>
      </w:r>
      <w:r>
        <w:t xml:space="preserve">will coincide with LLBO’s TFPA Fire as well as </w:t>
      </w:r>
      <w:r w:rsidR="005C0290">
        <w:t>a</w:t>
      </w:r>
      <w:r>
        <w:t xml:space="preserve"> C</w:t>
      </w:r>
      <w:r w:rsidR="0070629D">
        <w:t xml:space="preserve">hippewa National Forest </w:t>
      </w:r>
      <w:r>
        <w:t>C</w:t>
      </w:r>
      <w:r w:rsidR="005C0290">
        <w:t>ategorical Exclusion</w:t>
      </w:r>
      <w:r w:rsidR="0070629D">
        <w:t xml:space="preserve"> (CE)</w:t>
      </w:r>
      <w:r w:rsidR="005C0290">
        <w:t xml:space="preserve"> that covers the prescribed burning proposed in this project</w:t>
      </w:r>
      <w:r>
        <w:t>.  Th</w:t>
      </w:r>
      <w:r w:rsidR="0085078E">
        <w:t xml:space="preserve">is </w:t>
      </w:r>
      <w:r>
        <w:t>CE is expected to be approved soon, making this project a viable one to have a prescribed burn in fall 2022</w:t>
      </w:r>
      <w:r w:rsidR="00F95039">
        <w:t xml:space="preserve"> </w:t>
      </w:r>
      <w:r w:rsidR="0070629D">
        <w:t xml:space="preserve">(or </w:t>
      </w:r>
      <w:r w:rsidR="00F95039">
        <w:t>2023</w:t>
      </w:r>
      <w:r w:rsidR="0070629D">
        <w:t>, depending on site conditions)</w:t>
      </w:r>
      <w:r>
        <w:t>.</w:t>
      </w:r>
    </w:p>
    <w:p w14:paraId="25F36DCE" w14:textId="48FACA73" w:rsidR="00126BC4" w:rsidRDefault="00126BC4" w:rsidP="00126BC4">
      <w:r>
        <w:t>Following the Rx</w:t>
      </w:r>
      <w:r w:rsidR="00263EED">
        <w:t xml:space="preserve"> burn</w:t>
      </w:r>
      <w:r>
        <w:t xml:space="preserve">, </w:t>
      </w:r>
      <w:r w:rsidR="00990290" w:rsidRPr="00990290">
        <w:t xml:space="preserve">native seed (such as aster, prairie rose, blueberry, Canada mayflower, strawberry, dewberry, false lily of the valley, dog bane, fly honeysuckle, pea, wood anemone, meadow rue, bedstraw, bracken fern, solidago (golden rod), blue hyssop, blue bells, grasses) </w:t>
      </w:r>
      <w:r w:rsidR="00990290">
        <w:t>would</w:t>
      </w:r>
      <w:r w:rsidR="00990290" w:rsidRPr="00990290">
        <w:t xml:space="preserve"> be dispersed over approximately </w:t>
      </w:r>
      <w:r w:rsidRPr="00990290">
        <w:t xml:space="preserve">½ of the </w:t>
      </w:r>
      <w:r w:rsidR="00990290" w:rsidRPr="00990290">
        <w:t xml:space="preserve">project area (e.g., on 1 side of the road in each payment unit).  The seed </w:t>
      </w:r>
      <w:r w:rsidRPr="00990290">
        <w:t xml:space="preserve">requires a winter dormant season; we expect the following </w:t>
      </w:r>
      <w:r>
        <w:t>spring monitoring to begin to elicit results of the seeding.  To ascertain true results, a couple of years of monitoring would be warranted.</w:t>
      </w:r>
    </w:p>
    <w:p w14:paraId="20963106" w14:textId="77777777" w:rsidR="00F95039" w:rsidRDefault="00F95039" w:rsidP="00126BC4">
      <w:pPr>
        <w:rPr>
          <w:u w:val="single"/>
        </w:rPr>
      </w:pPr>
    </w:p>
    <w:p w14:paraId="06C84038" w14:textId="23E37D7D" w:rsidR="00126BC4" w:rsidRPr="008D7E32" w:rsidRDefault="00126BC4" w:rsidP="00126BC4">
      <w:pPr>
        <w:rPr>
          <w:u w:val="single"/>
        </w:rPr>
      </w:pPr>
      <w:r>
        <w:rPr>
          <w:u w:val="single"/>
        </w:rPr>
        <w:lastRenderedPageBreak/>
        <w:t>Fall</w:t>
      </w:r>
      <w:r w:rsidRPr="008D7E32">
        <w:rPr>
          <w:u w:val="single"/>
        </w:rPr>
        <w:t xml:space="preserve"> ’2</w:t>
      </w:r>
      <w:r>
        <w:rPr>
          <w:u w:val="single"/>
        </w:rPr>
        <w:t>2</w:t>
      </w:r>
      <w:r w:rsidRPr="008D7E32">
        <w:rPr>
          <w:u w:val="single"/>
        </w:rPr>
        <w:t xml:space="preserve"> </w:t>
      </w:r>
      <w:r w:rsidR="00F95039">
        <w:rPr>
          <w:u w:val="single"/>
        </w:rPr>
        <w:t>(if conditions are suitable)</w:t>
      </w:r>
    </w:p>
    <w:p w14:paraId="4B5469A7" w14:textId="77777777" w:rsidR="00126BC4" w:rsidRDefault="00126BC4" w:rsidP="00126BC4">
      <w:pPr>
        <w:pStyle w:val="ListParagraph"/>
        <w:numPr>
          <w:ilvl w:val="0"/>
          <w:numId w:val="2"/>
        </w:numPr>
      </w:pPr>
      <w:r>
        <w:t>Rx Broadcast Burn to reduce fuel loading and hazel and restore fire.</w:t>
      </w:r>
    </w:p>
    <w:p w14:paraId="00660630" w14:textId="776CB86B" w:rsidR="00126BC4" w:rsidRDefault="00126BC4" w:rsidP="00126BC4">
      <w:pPr>
        <w:pStyle w:val="ListParagraph"/>
        <w:numPr>
          <w:ilvl w:val="0"/>
          <w:numId w:val="2"/>
        </w:numPr>
      </w:pPr>
      <w:r>
        <w:t xml:space="preserve">Native seed dispersal across approximately ½ of the project </w:t>
      </w:r>
      <w:r w:rsidR="00DA5B73">
        <w:t xml:space="preserve">area </w:t>
      </w:r>
      <w:r>
        <w:t>following burn</w:t>
      </w:r>
      <w:r w:rsidR="00DA5B73">
        <w:t xml:space="preserve"> (e.g., on one side of the road in each payment unit)</w:t>
      </w:r>
      <w:r>
        <w:t xml:space="preserve">. </w:t>
      </w:r>
    </w:p>
    <w:p w14:paraId="6507FCBC" w14:textId="77777777" w:rsidR="00126BC4" w:rsidRDefault="00126BC4" w:rsidP="00126BC4">
      <w:r>
        <w:t>_____________________________________________________________________________________</w:t>
      </w:r>
    </w:p>
    <w:p w14:paraId="7F79C355" w14:textId="1F184D6D" w:rsidR="007454F0" w:rsidRDefault="00126BC4" w:rsidP="005F3E9B">
      <w:r>
        <w:t xml:space="preserve"> “Phase 3” of this project, following adequate ground flora and favorable residual tree response (in pine and hardwoods) would consist of a variable-density thinning to create larger openings and begin to plant fruiting shrubs (saplings) adequate for the site conditions within these openings.  Following the variable-density thin and before planting any fruiting shrubs, another Rx burn of the project site should occur.  The estimated timeline for this phase would be 2027.</w:t>
      </w:r>
    </w:p>
    <w:p w14:paraId="025F0320" w14:textId="40CF82CC" w:rsidR="00990290" w:rsidRDefault="00990290" w:rsidP="005F3E9B">
      <w:bookmarkStart w:id="5" w:name="_Hlk92975246"/>
      <w:r>
        <w:t>Slash piles may be burned in the future after NEPA is complete.</w:t>
      </w:r>
    </w:p>
    <w:bookmarkEnd w:id="5"/>
    <w:p w14:paraId="7A4021D2" w14:textId="77777777" w:rsidR="007454F0" w:rsidRDefault="007454F0">
      <w:r>
        <w:br w:type="page"/>
      </w:r>
    </w:p>
    <w:p w14:paraId="6B79C820" w14:textId="469D7F05" w:rsidR="0023507C" w:rsidRDefault="0023507C" w:rsidP="005F3E9B">
      <w:r>
        <w:rPr>
          <w:noProof/>
        </w:rPr>
        <w:lastRenderedPageBreak/>
        <w:drawing>
          <wp:inline distT="0" distB="0" distL="0" distR="0" wp14:anchorId="0F30E6E2" wp14:editId="0404C8F1">
            <wp:extent cx="5943600" cy="7691755"/>
            <wp:effectExtent l="0" t="0" r="0" b="4445"/>
            <wp:docPr id="2" name="Picture 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7691755"/>
                    </a:xfrm>
                    <a:prstGeom prst="rect">
                      <a:avLst/>
                    </a:prstGeom>
                  </pic:spPr>
                </pic:pic>
              </a:graphicData>
            </a:graphic>
          </wp:inline>
        </w:drawing>
      </w:r>
    </w:p>
    <w:p w14:paraId="231EC8DF" w14:textId="0BBD0D01" w:rsidR="0023507C" w:rsidRDefault="0023507C" w:rsidP="005F3E9B"/>
    <w:p w14:paraId="6EA89649" w14:textId="37D5601D" w:rsidR="0023507C" w:rsidRDefault="0023507C" w:rsidP="005F3E9B">
      <w:r>
        <w:rPr>
          <w:noProof/>
        </w:rPr>
        <w:lastRenderedPageBreak/>
        <w:drawing>
          <wp:inline distT="0" distB="0" distL="0" distR="0" wp14:anchorId="04556948" wp14:editId="3B89FDAB">
            <wp:extent cx="5943600" cy="7691755"/>
            <wp:effectExtent l="0" t="0" r="0" b="4445"/>
            <wp:docPr id="3" name="Picture 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p&#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7691755"/>
                    </a:xfrm>
                    <a:prstGeom prst="rect">
                      <a:avLst/>
                    </a:prstGeom>
                  </pic:spPr>
                </pic:pic>
              </a:graphicData>
            </a:graphic>
          </wp:inline>
        </w:drawing>
      </w:r>
    </w:p>
    <w:p w14:paraId="0FD50DF5" w14:textId="3CA10C0B" w:rsidR="0023507C" w:rsidRDefault="0023507C" w:rsidP="005F3E9B"/>
    <w:p w14:paraId="0957E056" w14:textId="1447F757" w:rsidR="0023507C" w:rsidRDefault="0023507C" w:rsidP="005F3E9B">
      <w:r>
        <w:rPr>
          <w:noProof/>
        </w:rPr>
        <w:lastRenderedPageBreak/>
        <w:drawing>
          <wp:inline distT="0" distB="0" distL="0" distR="0" wp14:anchorId="27E882F3" wp14:editId="48C1A8B1">
            <wp:extent cx="5943600" cy="7691755"/>
            <wp:effectExtent l="0" t="0" r="0" b="4445"/>
            <wp:docPr id="4" name="Picture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Map&#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7691755"/>
                    </a:xfrm>
                    <a:prstGeom prst="rect">
                      <a:avLst/>
                    </a:prstGeom>
                  </pic:spPr>
                </pic:pic>
              </a:graphicData>
            </a:graphic>
          </wp:inline>
        </w:drawing>
      </w:r>
    </w:p>
    <w:sectPr w:rsidR="0023507C">
      <w:headerReference w:type="default" r:id="rId12"/>
      <w:footerReference w:type="default" r:id="rId1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94304E" w14:textId="77777777" w:rsidR="00C261A3" w:rsidRDefault="00C261A3" w:rsidP="00B46231">
      <w:pPr>
        <w:spacing w:after="0" w:line="240" w:lineRule="auto"/>
      </w:pPr>
      <w:r>
        <w:separator/>
      </w:r>
    </w:p>
  </w:endnote>
  <w:endnote w:type="continuationSeparator" w:id="0">
    <w:p w14:paraId="15B65CD9" w14:textId="77777777" w:rsidR="00C261A3" w:rsidRDefault="00C261A3" w:rsidP="00B462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75D678" w14:textId="0DE0F627" w:rsidR="009D78FC" w:rsidRDefault="009D78FC">
    <w:pPr>
      <w:pStyle w:val="Footer"/>
    </w:pPr>
    <w:r>
      <w:fldChar w:fldCharType="begin"/>
    </w:r>
    <w:r>
      <w:instrText xml:space="preserve"> PAGE </w:instrText>
    </w:r>
    <w:r>
      <w:fldChar w:fldCharType="separate"/>
    </w:r>
    <w:r w:rsidR="003F1E5B">
      <w:rPr>
        <w:noProof/>
      </w:rPr>
      <w:t>2</w:t>
    </w:r>
    <w:r>
      <w:fldChar w:fldCharType="end"/>
    </w:r>
    <w:r>
      <w:t xml:space="preserve"> of </w:t>
    </w:r>
    <w:r w:rsidR="00C261A3">
      <w:fldChar w:fldCharType="begin"/>
    </w:r>
    <w:r w:rsidR="00C261A3">
      <w:instrText xml:space="preserve"> NUMPAGES </w:instrText>
    </w:r>
    <w:r w:rsidR="00C261A3">
      <w:fldChar w:fldCharType="separate"/>
    </w:r>
    <w:r w:rsidR="003F1E5B">
      <w:rPr>
        <w:noProof/>
      </w:rPr>
      <w:t>8</w:t>
    </w:r>
    <w:r w:rsidR="00C261A3">
      <w:fldChar w:fldCharType="end"/>
    </w:r>
    <w:r w:rsidRPr="004A6DE3">
      <w:rPr>
        <w:rFonts w:ascii="Calibri" w:hAnsi="Calibri"/>
      </w:rPr>
      <w:t xml:space="preserve">              </w:t>
    </w:r>
    <w:r>
      <w:rPr>
        <w:rFonts w:ascii="Calibri" w:hAnsi="Calibri"/>
      </w:rPr>
      <w:tab/>
      <w:t xml:space="preserve">                                                      </w:t>
    </w:r>
    <w:fldSimple w:instr=" FILENAME   \* MERGEFORMAT ">
      <w:r>
        <w:rPr>
          <w:noProof/>
        </w:rPr>
        <w:t>638 Pilot 1_02032_6_02057_30-31_RedPine_Thin_RedPine</w:t>
      </w:r>
    </w:fldSimple>
  </w:p>
  <w:p w14:paraId="3DD4B4F5" w14:textId="77777777" w:rsidR="009D78FC" w:rsidRDefault="009D78FC">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5E2B89" w14:textId="77777777" w:rsidR="00C261A3" w:rsidRDefault="00C261A3" w:rsidP="00B46231">
      <w:pPr>
        <w:spacing w:after="0" w:line="240" w:lineRule="auto"/>
      </w:pPr>
      <w:r>
        <w:separator/>
      </w:r>
    </w:p>
  </w:footnote>
  <w:footnote w:type="continuationSeparator" w:id="0">
    <w:p w14:paraId="0F774D22" w14:textId="77777777" w:rsidR="00C261A3" w:rsidRDefault="00C261A3" w:rsidP="00B462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9BD1C2" w14:textId="77777777" w:rsidR="00B46231" w:rsidRDefault="00B46231">
    <w:pPr>
      <w:pStyle w:val="Header"/>
    </w:pPr>
    <w:r>
      <w:t>LLBO/CNF 638 Pilot Project</w:t>
    </w:r>
  </w:p>
  <w:p w14:paraId="16CAB3B4" w14:textId="77777777" w:rsidR="00B46231" w:rsidRDefault="00B46231">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87E1D"/>
    <w:multiLevelType w:val="hybridMultilevel"/>
    <w:tmpl w:val="C0EA80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781A8A"/>
    <w:multiLevelType w:val="hybridMultilevel"/>
    <w:tmpl w:val="B4084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B737AFF"/>
    <w:multiLevelType w:val="hybridMultilevel"/>
    <w:tmpl w:val="B8BCA6FC"/>
    <w:lvl w:ilvl="0" w:tplc="04090001">
      <w:start w:val="1"/>
      <w:numFmt w:val="bullet"/>
      <w:lvlText w:val=""/>
      <w:lvlJc w:val="left"/>
      <w:pPr>
        <w:ind w:left="1971" w:hanging="360"/>
      </w:pPr>
      <w:rPr>
        <w:rFonts w:ascii="Symbol" w:hAnsi="Symbol" w:hint="default"/>
      </w:rPr>
    </w:lvl>
    <w:lvl w:ilvl="1" w:tplc="04090003" w:tentative="1">
      <w:start w:val="1"/>
      <w:numFmt w:val="bullet"/>
      <w:lvlText w:val="o"/>
      <w:lvlJc w:val="left"/>
      <w:pPr>
        <w:ind w:left="2691" w:hanging="360"/>
      </w:pPr>
      <w:rPr>
        <w:rFonts w:ascii="Courier New" w:hAnsi="Courier New" w:cs="Courier New" w:hint="default"/>
      </w:rPr>
    </w:lvl>
    <w:lvl w:ilvl="2" w:tplc="04090005" w:tentative="1">
      <w:start w:val="1"/>
      <w:numFmt w:val="bullet"/>
      <w:lvlText w:val=""/>
      <w:lvlJc w:val="left"/>
      <w:pPr>
        <w:ind w:left="3411" w:hanging="360"/>
      </w:pPr>
      <w:rPr>
        <w:rFonts w:ascii="Wingdings" w:hAnsi="Wingdings" w:hint="default"/>
      </w:rPr>
    </w:lvl>
    <w:lvl w:ilvl="3" w:tplc="04090001" w:tentative="1">
      <w:start w:val="1"/>
      <w:numFmt w:val="bullet"/>
      <w:lvlText w:val=""/>
      <w:lvlJc w:val="left"/>
      <w:pPr>
        <w:ind w:left="4131" w:hanging="360"/>
      </w:pPr>
      <w:rPr>
        <w:rFonts w:ascii="Symbol" w:hAnsi="Symbol" w:hint="default"/>
      </w:rPr>
    </w:lvl>
    <w:lvl w:ilvl="4" w:tplc="04090003" w:tentative="1">
      <w:start w:val="1"/>
      <w:numFmt w:val="bullet"/>
      <w:lvlText w:val="o"/>
      <w:lvlJc w:val="left"/>
      <w:pPr>
        <w:ind w:left="4851" w:hanging="360"/>
      </w:pPr>
      <w:rPr>
        <w:rFonts w:ascii="Courier New" w:hAnsi="Courier New" w:cs="Courier New" w:hint="default"/>
      </w:rPr>
    </w:lvl>
    <w:lvl w:ilvl="5" w:tplc="04090005" w:tentative="1">
      <w:start w:val="1"/>
      <w:numFmt w:val="bullet"/>
      <w:lvlText w:val=""/>
      <w:lvlJc w:val="left"/>
      <w:pPr>
        <w:ind w:left="5571" w:hanging="360"/>
      </w:pPr>
      <w:rPr>
        <w:rFonts w:ascii="Wingdings" w:hAnsi="Wingdings" w:hint="default"/>
      </w:rPr>
    </w:lvl>
    <w:lvl w:ilvl="6" w:tplc="04090001" w:tentative="1">
      <w:start w:val="1"/>
      <w:numFmt w:val="bullet"/>
      <w:lvlText w:val=""/>
      <w:lvlJc w:val="left"/>
      <w:pPr>
        <w:ind w:left="6291" w:hanging="360"/>
      </w:pPr>
      <w:rPr>
        <w:rFonts w:ascii="Symbol" w:hAnsi="Symbol" w:hint="default"/>
      </w:rPr>
    </w:lvl>
    <w:lvl w:ilvl="7" w:tplc="04090003" w:tentative="1">
      <w:start w:val="1"/>
      <w:numFmt w:val="bullet"/>
      <w:lvlText w:val="o"/>
      <w:lvlJc w:val="left"/>
      <w:pPr>
        <w:ind w:left="7011" w:hanging="360"/>
      </w:pPr>
      <w:rPr>
        <w:rFonts w:ascii="Courier New" w:hAnsi="Courier New" w:cs="Courier New" w:hint="default"/>
      </w:rPr>
    </w:lvl>
    <w:lvl w:ilvl="8" w:tplc="04090005" w:tentative="1">
      <w:start w:val="1"/>
      <w:numFmt w:val="bullet"/>
      <w:lvlText w:val=""/>
      <w:lvlJc w:val="left"/>
      <w:pPr>
        <w:ind w:left="7731" w:hanging="360"/>
      </w:pPr>
      <w:rPr>
        <w:rFonts w:ascii="Wingdings" w:hAnsi="Wingdings" w:hint="default"/>
      </w:rPr>
    </w:lvl>
  </w:abstractNum>
  <w:abstractNum w:abstractNumId="3" w15:restartNumberingAfterBreak="0">
    <w:nsid w:val="4B401B31"/>
    <w:multiLevelType w:val="hybridMultilevel"/>
    <w:tmpl w:val="C9C630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49E576E"/>
    <w:multiLevelType w:val="hybridMultilevel"/>
    <w:tmpl w:val="DAD6C77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6C5A1148"/>
    <w:multiLevelType w:val="hybridMultilevel"/>
    <w:tmpl w:val="3E9430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0"/>
  </w:num>
  <w:num w:numId="4">
    <w:abstractNumId w:val="1"/>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1" w:cryptProviderType="rsaAES" w:cryptAlgorithmClass="hash" w:cryptAlgorithmType="typeAny" w:cryptAlgorithmSid="14" w:cryptSpinCount="100000" w:hash="l4CORxKbnSo+LKqsv0mOGmJCKyhj7E3i9QXhqP/2ASIfztI801vlr9ruUxc0Juh09z1AP0vFp4sYPQUHpFmSZg==" w:salt="h23+uSLo43Xi9jIDVShe8A=="/>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6231"/>
    <w:rsid w:val="00052179"/>
    <w:rsid w:val="00057232"/>
    <w:rsid w:val="00062390"/>
    <w:rsid w:val="00101F87"/>
    <w:rsid w:val="00126BC4"/>
    <w:rsid w:val="00195340"/>
    <w:rsid w:val="00197BCD"/>
    <w:rsid w:val="00206EA9"/>
    <w:rsid w:val="0023507C"/>
    <w:rsid w:val="00263EED"/>
    <w:rsid w:val="002B0F4B"/>
    <w:rsid w:val="00317931"/>
    <w:rsid w:val="00364989"/>
    <w:rsid w:val="00391E55"/>
    <w:rsid w:val="003F1E5B"/>
    <w:rsid w:val="004046FD"/>
    <w:rsid w:val="00473C89"/>
    <w:rsid w:val="0047722D"/>
    <w:rsid w:val="00485E05"/>
    <w:rsid w:val="00495C05"/>
    <w:rsid w:val="0059644F"/>
    <w:rsid w:val="005C0290"/>
    <w:rsid w:val="005F3E9B"/>
    <w:rsid w:val="00684866"/>
    <w:rsid w:val="006A4B2E"/>
    <w:rsid w:val="006B5EC2"/>
    <w:rsid w:val="0070629D"/>
    <w:rsid w:val="00715BA7"/>
    <w:rsid w:val="007454F0"/>
    <w:rsid w:val="007C702F"/>
    <w:rsid w:val="007E4A00"/>
    <w:rsid w:val="00843D9B"/>
    <w:rsid w:val="00846840"/>
    <w:rsid w:val="0085078E"/>
    <w:rsid w:val="00882F51"/>
    <w:rsid w:val="00885DE2"/>
    <w:rsid w:val="008A27ED"/>
    <w:rsid w:val="008A5549"/>
    <w:rsid w:val="00935FED"/>
    <w:rsid w:val="00962D43"/>
    <w:rsid w:val="00990290"/>
    <w:rsid w:val="009D78FC"/>
    <w:rsid w:val="00A44E83"/>
    <w:rsid w:val="00B46231"/>
    <w:rsid w:val="00B80ACB"/>
    <w:rsid w:val="00BA0A93"/>
    <w:rsid w:val="00BC4B16"/>
    <w:rsid w:val="00C261A3"/>
    <w:rsid w:val="00C73E4A"/>
    <w:rsid w:val="00C96A2B"/>
    <w:rsid w:val="00D12AE8"/>
    <w:rsid w:val="00D13CA4"/>
    <w:rsid w:val="00D17268"/>
    <w:rsid w:val="00D23BF4"/>
    <w:rsid w:val="00D76334"/>
    <w:rsid w:val="00D76A82"/>
    <w:rsid w:val="00DA5B73"/>
    <w:rsid w:val="00DA7A65"/>
    <w:rsid w:val="00E12247"/>
    <w:rsid w:val="00E240E8"/>
    <w:rsid w:val="00E56AD1"/>
    <w:rsid w:val="00E80D69"/>
    <w:rsid w:val="00EC07BC"/>
    <w:rsid w:val="00EC5F51"/>
    <w:rsid w:val="00F04AAA"/>
    <w:rsid w:val="00F130E8"/>
    <w:rsid w:val="00F95039"/>
    <w:rsid w:val="00FC4829"/>
    <w:rsid w:val="00FF5C3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49BDD89"/>
  <w15:chartTrackingRefBased/>
  <w15:docId w15:val="{0A278F53-726F-47FA-9A42-7F3BFE95A2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link w:val="Heading2Char"/>
    <w:uiPriority w:val="9"/>
    <w:unhideWhenUsed/>
    <w:qFormat/>
    <w:rsid w:val="00391E55"/>
    <w:pPr>
      <w:widowControl w:val="0"/>
      <w:autoSpaceDE w:val="0"/>
      <w:autoSpaceDN w:val="0"/>
      <w:spacing w:before="8" w:after="0" w:line="240" w:lineRule="auto"/>
      <w:ind w:left="1374"/>
      <w:outlineLvl w:val="1"/>
    </w:pPr>
    <w:rPr>
      <w:rFonts w:ascii="Arial" w:eastAsia="Arial" w:hAnsi="Arial" w:cs="Arial"/>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46231"/>
    <w:pPr>
      <w:tabs>
        <w:tab w:val="center" w:pos="4680"/>
        <w:tab w:val="right" w:pos="9360"/>
      </w:tabs>
      <w:spacing w:after="0" w:line="240" w:lineRule="auto"/>
    </w:pPr>
  </w:style>
  <w:style w:type="character" w:customStyle="1" w:styleId="HeaderChar">
    <w:name w:val="Header Char"/>
    <w:basedOn w:val="DefaultParagraphFont"/>
    <w:link w:val="Header"/>
    <w:uiPriority w:val="99"/>
    <w:rsid w:val="00B46231"/>
  </w:style>
  <w:style w:type="paragraph" w:styleId="Footer">
    <w:name w:val="footer"/>
    <w:basedOn w:val="Normal"/>
    <w:link w:val="FooterChar"/>
    <w:uiPriority w:val="99"/>
    <w:unhideWhenUsed/>
    <w:rsid w:val="00B46231"/>
    <w:pPr>
      <w:tabs>
        <w:tab w:val="center" w:pos="4680"/>
        <w:tab w:val="right" w:pos="9360"/>
      </w:tabs>
      <w:spacing w:after="0" w:line="240" w:lineRule="auto"/>
    </w:pPr>
  </w:style>
  <w:style w:type="character" w:customStyle="1" w:styleId="FooterChar">
    <w:name w:val="Footer Char"/>
    <w:basedOn w:val="DefaultParagraphFont"/>
    <w:link w:val="Footer"/>
    <w:uiPriority w:val="99"/>
    <w:rsid w:val="00B46231"/>
  </w:style>
  <w:style w:type="paragraph" w:styleId="ListParagraph">
    <w:name w:val="List Paragraph"/>
    <w:basedOn w:val="Normal"/>
    <w:uiPriority w:val="34"/>
    <w:qFormat/>
    <w:rsid w:val="00C73E4A"/>
    <w:pPr>
      <w:ind w:left="720"/>
      <w:contextualSpacing/>
    </w:pPr>
  </w:style>
  <w:style w:type="paragraph" w:customStyle="1" w:styleId="TableParagraph">
    <w:name w:val="Table Paragraph"/>
    <w:basedOn w:val="Normal"/>
    <w:uiPriority w:val="1"/>
    <w:qFormat/>
    <w:rsid w:val="00197BCD"/>
    <w:pPr>
      <w:widowControl w:val="0"/>
      <w:autoSpaceDE w:val="0"/>
      <w:autoSpaceDN w:val="0"/>
      <w:spacing w:after="0" w:line="240" w:lineRule="auto"/>
    </w:pPr>
    <w:rPr>
      <w:rFonts w:ascii="Arial" w:eastAsia="Arial" w:hAnsi="Arial" w:cs="Arial"/>
    </w:rPr>
  </w:style>
  <w:style w:type="character" w:customStyle="1" w:styleId="Heading2Char">
    <w:name w:val="Heading 2 Char"/>
    <w:basedOn w:val="DefaultParagraphFont"/>
    <w:link w:val="Heading2"/>
    <w:uiPriority w:val="9"/>
    <w:rsid w:val="00391E55"/>
    <w:rPr>
      <w:rFonts w:ascii="Arial" w:eastAsia="Arial" w:hAnsi="Arial" w:cs="Arial"/>
      <w:sz w:val="31"/>
      <w:szCs w:val="31"/>
    </w:rPr>
  </w:style>
  <w:style w:type="paragraph" w:styleId="BodyText">
    <w:name w:val="Body Text"/>
    <w:basedOn w:val="Normal"/>
    <w:link w:val="BodyTextChar"/>
    <w:uiPriority w:val="1"/>
    <w:qFormat/>
    <w:rsid w:val="00BC4B16"/>
    <w:pPr>
      <w:widowControl w:val="0"/>
      <w:autoSpaceDE w:val="0"/>
      <w:autoSpaceDN w:val="0"/>
      <w:spacing w:after="0" w:line="240" w:lineRule="auto"/>
    </w:pPr>
    <w:rPr>
      <w:rFonts w:ascii="Arial" w:eastAsia="Arial" w:hAnsi="Arial" w:cs="Arial"/>
      <w:sz w:val="20"/>
      <w:szCs w:val="20"/>
    </w:rPr>
  </w:style>
  <w:style w:type="character" w:customStyle="1" w:styleId="BodyTextChar">
    <w:name w:val="Body Text Char"/>
    <w:basedOn w:val="DefaultParagraphFont"/>
    <w:link w:val="BodyText"/>
    <w:uiPriority w:val="1"/>
    <w:rsid w:val="00BC4B16"/>
    <w:rPr>
      <w:rFonts w:ascii="Arial" w:eastAsia="Arial" w:hAnsi="Arial" w:cs="Arial"/>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971814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1689</Words>
  <Characters>9628</Characters>
  <Application>Microsoft Office Word</Application>
  <DocSecurity>8</DocSecurity>
  <Lines>80</Lines>
  <Paragraphs>22</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11295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DRM</dc:creator>
  <cp:keywords/>
  <dc:description/>
  <cp:lastModifiedBy>DRM</cp:lastModifiedBy>
  <cp:revision>2</cp:revision>
  <dcterms:created xsi:type="dcterms:W3CDTF">2022-01-25T19:24:00Z</dcterms:created>
  <dcterms:modified xsi:type="dcterms:W3CDTF">2022-01-25T19:24:00Z</dcterms:modified>
</cp:coreProperties>
</file>